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98F68" w14:textId="77777777" w:rsidR="00FB0D24" w:rsidRPr="00FE292B" w:rsidRDefault="00FB0D24" w:rsidP="00FB0D24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FE292B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FE292B" w:rsidRDefault="00FB0D24" w:rsidP="00FB0D24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FE292B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FE292B" w:rsidRDefault="00FB0D24" w:rsidP="00FB0D24">
      <w:pPr>
        <w:jc w:val="center"/>
        <w:rPr>
          <w:rFonts w:ascii="Open Sans" w:hAnsi="Open Sans" w:cs="Open Sans"/>
          <w:sz w:val="20"/>
          <w:szCs w:val="20"/>
        </w:rPr>
      </w:pPr>
      <w:r w:rsidRPr="00FE292B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FE292B" w:rsidRDefault="00FB0D24" w:rsidP="00FB0D24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42118ACF" w14:textId="7E20CD41" w:rsidR="00FB0D24" w:rsidRPr="00FE292B" w:rsidRDefault="00FB0D24" w:rsidP="00FB0D24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FE292B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CF7875" w:rsidRPr="00FE292B">
        <w:rPr>
          <w:rFonts w:ascii="Open Sans" w:hAnsi="Open Sans" w:cs="Open Sans"/>
          <w:b/>
          <w:caps/>
          <w:sz w:val="20"/>
          <w:szCs w:val="20"/>
        </w:rPr>
        <w:t>À</w:t>
      </w:r>
      <w:r w:rsidRPr="00FE292B">
        <w:rPr>
          <w:rFonts w:ascii="Open Sans" w:hAnsi="Open Sans" w:cs="Open Sans"/>
          <w:b/>
          <w:caps/>
          <w:sz w:val="20"/>
          <w:szCs w:val="20"/>
        </w:rPr>
        <w:t xml:space="preserve"> DISTÂNCIA PARA A ASSEMBLEIA GERAL DE TITULARES DE CERTIFICADOS DE RECEBÍVEIS DO AGRONEGÓCIO </w:t>
      </w:r>
      <w:r w:rsidRPr="00FE292B">
        <w:rPr>
          <w:rFonts w:ascii="Open Sans" w:hAnsi="Open Sans" w:cs="Open Sans"/>
          <w:b/>
          <w:bCs/>
          <w:sz w:val="20"/>
          <w:szCs w:val="20"/>
        </w:rPr>
        <w:t xml:space="preserve">DA 1ª SÉRIE DA 2ª EMISSÃO DA </w:t>
      </w:r>
      <w:r w:rsidRPr="00FE292B">
        <w:rPr>
          <w:rFonts w:ascii="Open Sans" w:hAnsi="Open Sans" w:cs="Open Sans"/>
          <w:b/>
          <w:sz w:val="20"/>
          <w:szCs w:val="20"/>
        </w:rPr>
        <w:t>FORTE SECURITIZADORA S.A.</w:t>
      </w:r>
      <w:r w:rsidR="005A08C8" w:rsidRPr="00FE292B">
        <w:rPr>
          <w:rFonts w:ascii="Open Sans" w:hAnsi="Open Sans" w:cs="Open Sans"/>
          <w:b/>
          <w:sz w:val="20"/>
          <w:szCs w:val="20"/>
        </w:rPr>
        <w:t>,</w:t>
      </w:r>
      <w:r w:rsidRPr="00FE292B">
        <w:rPr>
          <w:rFonts w:ascii="Open Sans" w:hAnsi="Open Sans" w:cs="Open Sans"/>
          <w:b/>
          <w:caps/>
          <w:sz w:val="20"/>
          <w:szCs w:val="20"/>
        </w:rPr>
        <w:t xml:space="preserve"> a ser realizada em segunda convocação</w:t>
      </w:r>
      <w:r w:rsidR="00B0580D">
        <w:rPr>
          <w:rFonts w:ascii="Open Sans" w:hAnsi="Open Sans" w:cs="Open Sans"/>
          <w:b/>
          <w:caps/>
          <w:sz w:val="20"/>
          <w:szCs w:val="20"/>
        </w:rPr>
        <w:t xml:space="preserve"> em 19 de novembro de 2020</w:t>
      </w:r>
      <w:r w:rsidRPr="00FE292B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FE292B">
        <w:rPr>
          <w:rFonts w:ascii="Open Sans" w:hAnsi="Open Sans" w:cs="Open Sans"/>
          <w:b/>
          <w:caps/>
          <w:sz w:val="20"/>
          <w:szCs w:val="20"/>
        </w:rPr>
        <w:t>eventuais reaberturas</w:t>
      </w:r>
    </w:p>
    <w:p w14:paraId="3606EFA8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FE292B" w14:paraId="21F40042" w14:textId="77777777" w:rsidTr="009238FF">
        <w:tc>
          <w:tcPr>
            <w:tcW w:w="2960" w:type="dxa"/>
          </w:tcPr>
          <w:p w14:paraId="4324CC4F" w14:textId="77777777" w:rsidR="00FB0D24" w:rsidRPr="00FE292B" w:rsidRDefault="00FB0D24" w:rsidP="00DB18B7">
            <w:pPr>
              <w:pStyle w:val="Estilo"/>
              <w:spacing w:before="120" w:line="320" w:lineRule="exact"/>
              <w:rPr>
                <w:rFonts w:ascii="Open Sans" w:hAnsi="Open Sans" w:cs="Open Sans"/>
                <w:shd w:val="clear" w:color="auto" w:fill="FFFFFF"/>
              </w:rPr>
            </w:pPr>
            <w:r w:rsidRPr="00FE292B">
              <w:rPr>
                <w:rFonts w:ascii="Open Sans" w:hAnsi="Open Sans" w:cs="Open Sans"/>
                <w:shd w:val="clear" w:color="auto" w:fill="FFFFFF"/>
              </w:rPr>
              <w:t>Nome/Denominação do Titular de CRA</w:t>
            </w:r>
          </w:p>
          <w:p w14:paraId="75BEC917" w14:textId="77777777" w:rsidR="00FB0D24" w:rsidRPr="00FE292B" w:rsidRDefault="00FB0D24" w:rsidP="00DB18B7">
            <w:pPr>
              <w:pStyle w:val="Estilo"/>
              <w:spacing w:before="120" w:line="320" w:lineRule="exact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333561C1" w14:textId="77777777" w:rsidR="00FB0D24" w:rsidRPr="00FE292B" w:rsidRDefault="00FB0D24" w:rsidP="00DB18B7">
            <w:pPr>
              <w:pStyle w:val="Estilo"/>
              <w:spacing w:before="120" w:line="32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FE292B" w14:paraId="4F9C9A9E" w14:textId="77777777" w:rsidTr="009238FF">
        <w:tc>
          <w:tcPr>
            <w:tcW w:w="2960" w:type="dxa"/>
          </w:tcPr>
          <w:p w14:paraId="28BAA0F8" w14:textId="77777777" w:rsidR="00FB0D24" w:rsidRPr="00FE292B" w:rsidRDefault="00FB0D24" w:rsidP="00DB18B7">
            <w:pPr>
              <w:pStyle w:val="Estilo"/>
              <w:spacing w:before="120" w:line="320" w:lineRule="exact"/>
              <w:rPr>
                <w:rFonts w:ascii="Open Sans" w:hAnsi="Open Sans" w:cs="Open Sans"/>
                <w:shd w:val="clear" w:color="auto" w:fill="FFFFFF"/>
              </w:rPr>
            </w:pPr>
            <w:r w:rsidRPr="00FE292B">
              <w:rPr>
                <w:rFonts w:ascii="Open Sans" w:hAnsi="Open Sans" w:cs="Open Sans"/>
                <w:shd w:val="clear" w:color="auto" w:fill="FFFFFF"/>
              </w:rPr>
              <w:t>CPF/CNPJ do Titular de CRA</w:t>
            </w:r>
          </w:p>
          <w:p w14:paraId="1ABE1E64" w14:textId="77777777" w:rsidR="00FB0D24" w:rsidRPr="00FE292B" w:rsidRDefault="00FB0D24" w:rsidP="00DB18B7">
            <w:pPr>
              <w:pStyle w:val="Estilo"/>
              <w:spacing w:before="120" w:line="320" w:lineRule="exact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FE292B" w:rsidRDefault="00FB0D24" w:rsidP="00DB18B7">
            <w:pPr>
              <w:pStyle w:val="Estilo"/>
              <w:spacing w:before="120" w:line="32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FE292B" w14:paraId="50C22F28" w14:textId="77777777" w:rsidTr="009238FF">
        <w:tc>
          <w:tcPr>
            <w:tcW w:w="2960" w:type="dxa"/>
          </w:tcPr>
          <w:p w14:paraId="45E47843" w14:textId="77777777" w:rsidR="00FB0D24" w:rsidRPr="00FE292B" w:rsidRDefault="00FB0D24" w:rsidP="00DB18B7">
            <w:pPr>
              <w:pStyle w:val="Estilo"/>
              <w:spacing w:before="120" w:line="320" w:lineRule="exact"/>
              <w:rPr>
                <w:rFonts w:ascii="Open Sans" w:hAnsi="Open Sans" w:cs="Open Sans"/>
                <w:shd w:val="clear" w:color="auto" w:fill="FFFFFF"/>
              </w:rPr>
            </w:pPr>
            <w:r w:rsidRPr="00871DF6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FE292B">
              <w:rPr>
                <w:rFonts w:ascii="Open Sans" w:hAnsi="Open Sans" w:cs="Open Sans"/>
                <w:shd w:val="clear" w:color="auto" w:fill="FFFFFF"/>
              </w:rPr>
              <w:t xml:space="preserve"> do Titular de CRA</w:t>
            </w:r>
          </w:p>
          <w:p w14:paraId="68E68C83" w14:textId="77777777" w:rsidR="00FB0D24" w:rsidRPr="00FE292B" w:rsidRDefault="00FB0D24" w:rsidP="00DB18B7">
            <w:pPr>
              <w:pStyle w:val="Estilo"/>
              <w:spacing w:before="120" w:line="320" w:lineRule="exact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FE292B" w:rsidRDefault="00FB0D24" w:rsidP="00DB18B7">
            <w:pPr>
              <w:pStyle w:val="Estilo"/>
              <w:spacing w:before="120" w:line="32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FE292B" w14:paraId="2E187A9D" w14:textId="77777777" w:rsidTr="009238FF">
        <w:tc>
          <w:tcPr>
            <w:tcW w:w="2960" w:type="dxa"/>
          </w:tcPr>
          <w:p w14:paraId="4497E4C7" w14:textId="77777777" w:rsidR="00FB0D24" w:rsidRPr="00FE292B" w:rsidRDefault="00FB0D24" w:rsidP="00DB18B7">
            <w:pPr>
              <w:pStyle w:val="Estilo"/>
              <w:spacing w:before="120" w:line="320" w:lineRule="exact"/>
              <w:rPr>
                <w:rFonts w:ascii="Open Sans" w:hAnsi="Open Sans" w:cs="Open Sans"/>
                <w:shd w:val="clear" w:color="auto" w:fill="FFFFFF"/>
              </w:rPr>
            </w:pPr>
            <w:r w:rsidRPr="00FE292B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FE292B" w:rsidRDefault="00FB0D24" w:rsidP="00DB18B7">
            <w:pPr>
              <w:pStyle w:val="Estilo"/>
              <w:spacing w:before="120" w:line="320" w:lineRule="exact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FE292B" w:rsidRDefault="00FB0D24" w:rsidP="00DB18B7">
            <w:pPr>
              <w:pStyle w:val="Estilo"/>
              <w:spacing w:before="120" w:line="32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FE292B" w:rsidRDefault="00BC543A" w:rsidP="00FB0D24">
      <w:pPr>
        <w:pStyle w:val="Estilo"/>
        <w:pBdr>
          <w:bottom w:val="single" w:sz="12" w:space="1" w:color="auto"/>
        </w:pBdr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Default="00BC543A" w:rsidP="00FB0D24">
      <w:pPr>
        <w:pStyle w:val="Estilo"/>
        <w:spacing w:line="32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2B1BB4" w14:textId="77777777" w:rsidR="00FB0D24" w:rsidRPr="00FE292B" w:rsidRDefault="00FB0D24" w:rsidP="00FB0D24">
      <w:pPr>
        <w:jc w:val="both"/>
        <w:rPr>
          <w:rFonts w:ascii="Open Sans" w:hAnsi="Open Sans" w:cs="Open Sans"/>
          <w:sz w:val="20"/>
          <w:szCs w:val="20"/>
        </w:rPr>
      </w:pPr>
      <w:r w:rsidRPr="00FE292B">
        <w:rPr>
          <w:rFonts w:ascii="Open Sans" w:hAnsi="Open Sans" w:cs="Open Sans"/>
          <w:sz w:val="20"/>
          <w:szCs w:val="20"/>
        </w:rPr>
        <w:t>Conforme solicitação da JALLES MACHADO S.A. (“</w:t>
      </w:r>
      <w:r w:rsidRPr="00FE292B">
        <w:rPr>
          <w:rFonts w:ascii="Open Sans" w:hAnsi="Open Sans" w:cs="Open Sans"/>
          <w:sz w:val="20"/>
          <w:szCs w:val="20"/>
          <w:u w:val="single"/>
        </w:rPr>
        <w:t>Companhia</w:t>
      </w:r>
      <w:r w:rsidRPr="00FE292B">
        <w:rPr>
          <w:rFonts w:ascii="Open Sans" w:hAnsi="Open Sans" w:cs="Open Sans"/>
          <w:sz w:val="20"/>
          <w:szCs w:val="20"/>
        </w:rPr>
        <w:t>”), datada de 07 de outubro de 2020:</w:t>
      </w:r>
    </w:p>
    <w:p w14:paraId="11D2C8E5" w14:textId="77777777" w:rsidR="00FB0D24" w:rsidRPr="00FE292B" w:rsidRDefault="00FB0D24" w:rsidP="00FB0D24">
      <w:pPr>
        <w:rPr>
          <w:rFonts w:ascii="Open Sans" w:hAnsi="Open Sans" w:cs="Open Sans"/>
          <w:sz w:val="20"/>
          <w:szCs w:val="20"/>
        </w:rPr>
      </w:pPr>
    </w:p>
    <w:p w14:paraId="5E71C072" w14:textId="77777777" w:rsidR="00FB0D24" w:rsidRPr="00FE292B" w:rsidRDefault="00FB0D24" w:rsidP="00FB0D24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line="320" w:lineRule="exact"/>
        <w:ind w:left="0" w:firstLine="0"/>
        <w:jc w:val="both"/>
        <w:rPr>
          <w:rFonts w:ascii="Open Sans" w:hAnsi="Open Sans" w:cs="Open Sans"/>
          <w:sz w:val="20"/>
          <w:szCs w:val="20"/>
        </w:rPr>
      </w:pPr>
      <w:r w:rsidRPr="00FE292B">
        <w:rPr>
          <w:rFonts w:ascii="Open Sans" w:hAnsi="Open Sans" w:cs="Open Sans"/>
          <w:sz w:val="20"/>
          <w:szCs w:val="20"/>
        </w:rPr>
        <w:t>Aprovar a redução do capital social da Companhia, a ser realizada em decorrência dos atos descritos nos itens (1) e (2) abaixo e, consequentemente, a renúncia ao direito de declarar o vencimento antecipado da</w:t>
      </w:r>
      <w:r w:rsidRPr="00FE292B">
        <w:rPr>
          <w:rFonts w:ascii="Open Sans" w:eastAsia="Tahoma" w:hAnsi="Open Sans" w:cs="Open Sans"/>
          <w:sz w:val="20"/>
          <w:szCs w:val="20"/>
        </w:rPr>
        <w:t xml:space="preserve"> “</w:t>
      </w:r>
      <w:r w:rsidRPr="00FE292B">
        <w:rPr>
          <w:rFonts w:ascii="Open Sans" w:hAnsi="Open Sans" w:cs="Open Sans"/>
          <w:i/>
          <w:sz w:val="20"/>
          <w:szCs w:val="20"/>
        </w:rPr>
        <w:t>Cédula de Produto Rural Financeira Nº 001/2017”</w:t>
      </w:r>
      <w:r w:rsidRPr="00FE292B">
        <w:rPr>
          <w:rFonts w:ascii="Open Sans" w:hAnsi="Open Sans" w:cs="Open Sans"/>
          <w:sz w:val="20"/>
          <w:szCs w:val="20"/>
        </w:rPr>
        <w:t xml:space="preserve">, emitida pela Companhia em favor da </w:t>
      </w:r>
      <w:r w:rsidRPr="00FE292B">
        <w:rPr>
          <w:rFonts w:ascii="Open Sans" w:hAnsi="Open Sans" w:cs="Open Sans"/>
          <w:smallCaps/>
          <w:sz w:val="20"/>
          <w:szCs w:val="20"/>
        </w:rPr>
        <w:t xml:space="preserve">Goiás </w:t>
      </w:r>
      <w:proofErr w:type="spellStart"/>
      <w:r w:rsidRPr="00FE292B">
        <w:rPr>
          <w:rFonts w:ascii="Open Sans" w:hAnsi="Open Sans" w:cs="Open Sans"/>
          <w:smallCaps/>
          <w:sz w:val="20"/>
          <w:szCs w:val="20"/>
        </w:rPr>
        <w:t>Latex</w:t>
      </w:r>
      <w:proofErr w:type="spellEnd"/>
      <w:r w:rsidRPr="00FE292B">
        <w:rPr>
          <w:rFonts w:ascii="Open Sans" w:hAnsi="Open Sans" w:cs="Open Sans"/>
          <w:smallCaps/>
          <w:sz w:val="20"/>
          <w:szCs w:val="20"/>
        </w:rPr>
        <w:t xml:space="preserve"> S.</w:t>
      </w:r>
      <w:r w:rsidRPr="00FE292B">
        <w:rPr>
          <w:rFonts w:ascii="Open Sans" w:hAnsi="Open Sans" w:cs="Open Sans"/>
          <w:sz w:val="20"/>
          <w:szCs w:val="20"/>
        </w:rPr>
        <w:t xml:space="preserve">A., em </w:t>
      </w:r>
      <w:r w:rsidRPr="00FE292B">
        <w:rPr>
          <w:rFonts w:ascii="Open Sans" w:hAnsi="Open Sans" w:cs="Open Sans"/>
          <w:bCs/>
          <w:sz w:val="20"/>
          <w:szCs w:val="20"/>
        </w:rPr>
        <w:t>25 de outubro de 2017</w:t>
      </w:r>
      <w:r w:rsidRPr="00FE292B">
        <w:rPr>
          <w:rFonts w:ascii="Open Sans" w:hAnsi="Open Sans" w:cs="Open Sans"/>
          <w:sz w:val="20"/>
          <w:szCs w:val="20"/>
        </w:rPr>
        <w:t>, e endossada na mesma data à Emissora para servir de lastro à</w:t>
      </w:r>
      <w:r w:rsidRPr="00FE292B">
        <w:rPr>
          <w:rFonts w:ascii="Open Sans" w:hAnsi="Open Sans" w:cs="Open Sans"/>
          <w:bCs/>
          <w:sz w:val="20"/>
          <w:szCs w:val="20"/>
        </w:rPr>
        <w:t xml:space="preserve"> emissão dos CRA (“</w:t>
      </w:r>
      <w:r w:rsidRPr="00FE292B">
        <w:rPr>
          <w:rFonts w:ascii="Open Sans" w:hAnsi="Open Sans" w:cs="Open Sans"/>
          <w:bCs/>
          <w:iCs/>
          <w:smallCaps/>
          <w:sz w:val="20"/>
          <w:szCs w:val="20"/>
          <w:u w:val="single"/>
        </w:rPr>
        <w:t>CPR-F</w:t>
      </w:r>
      <w:r w:rsidRPr="00FE292B">
        <w:rPr>
          <w:rFonts w:ascii="Open Sans" w:hAnsi="Open Sans" w:cs="Open Sans"/>
          <w:bCs/>
          <w:sz w:val="20"/>
          <w:szCs w:val="20"/>
        </w:rPr>
        <w:t>”), nos termos do item (</w:t>
      </w:r>
      <w:proofErr w:type="spellStart"/>
      <w:r w:rsidRPr="00FE292B">
        <w:rPr>
          <w:rFonts w:ascii="Open Sans" w:hAnsi="Open Sans" w:cs="Open Sans"/>
          <w:bCs/>
          <w:sz w:val="20"/>
          <w:szCs w:val="20"/>
        </w:rPr>
        <w:t>xiii</w:t>
      </w:r>
      <w:proofErr w:type="spellEnd"/>
      <w:r w:rsidRPr="00FE292B">
        <w:rPr>
          <w:rFonts w:ascii="Open Sans" w:hAnsi="Open Sans" w:cs="Open Sans"/>
          <w:bCs/>
          <w:sz w:val="20"/>
          <w:szCs w:val="20"/>
        </w:rPr>
        <w:t>) da Cláusula 9.1.2 da CPR-F, bem como a renúncia ao direito de declarar o vencimento antecipado dos CRA, nos termos da Cláusula 7.1.4 do Termo de Securitização:</w:t>
      </w:r>
      <w:r w:rsidRPr="00FE292B">
        <w:rPr>
          <w:rFonts w:ascii="Open Sans" w:hAnsi="Open Sans" w:cs="Open Sans"/>
          <w:sz w:val="20"/>
          <w:szCs w:val="20"/>
        </w:rPr>
        <w:t xml:space="preserve">  </w:t>
      </w:r>
    </w:p>
    <w:p w14:paraId="4CF0CBA7" w14:textId="77777777" w:rsidR="00FB0D24" w:rsidRPr="00FE292B" w:rsidRDefault="00FB0D24" w:rsidP="00FB0D24">
      <w:pPr>
        <w:pStyle w:val="PargrafodaLista"/>
        <w:spacing w:line="320" w:lineRule="exact"/>
        <w:ind w:left="0"/>
        <w:jc w:val="both"/>
        <w:rPr>
          <w:rFonts w:ascii="Open Sans" w:hAnsi="Open Sans" w:cs="Open Sans"/>
          <w:sz w:val="20"/>
          <w:szCs w:val="20"/>
          <w:highlight w:val="yellow"/>
        </w:rPr>
      </w:pPr>
    </w:p>
    <w:p w14:paraId="4CC19145" w14:textId="77777777" w:rsidR="00FB0D24" w:rsidRPr="00FE292B" w:rsidRDefault="00FB0D24" w:rsidP="00FB0D24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exact"/>
        <w:ind w:left="851" w:hanging="851"/>
        <w:jc w:val="both"/>
        <w:rPr>
          <w:rFonts w:ascii="Open Sans" w:hAnsi="Open Sans" w:cs="Open Sans"/>
          <w:sz w:val="20"/>
          <w:szCs w:val="20"/>
        </w:rPr>
      </w:pPr>
      <w:r w:rsidRPr="00FE292B">
        <w:rPr>
          <w:rFonts w:ascii="Open Sans" w:hAnsi="Open Sans" w:cs="Open Sans"/>
          <w:sz w:val="20"/>
          <w:szCs w:val="20"/>
        </w:rPr>
        <w:t>Cisão de determinados ativos e passivos ("</w:t>
      </w:r>
      <w:r w:rsidRPr="00FE292B">
        <w:rPr>
          <w:rFonts w:ascii="Open Sans" w:hAnsi="Open Sans" w:cs="Open Sans"/>
          <w:sz w:val="20"/>
          <w:szCs w:val="20"/>
          <w:u w:val="single"/>
        </w:rPr>
        <w:t>Patrimônio Cindido</w:t>
      </w:r>
      <w:r w:rsidRPr="00FE292B">
        <w:rPr>
          <w:rFonts w:ascii="Open Sans" w:hAnsi="Open Sans" w:cs="Open Sans"/>
          <w:sz w:val="20"/>
          <w:szCs w:val="20"/>
        </w:rPr>
        <w:t xml:space="preserve">") </w:t>
      </w:r>
      <w:bookmarkStart w:id="0" w:name="OLE_LINK63"/>
      <w:bookmarkStart w:id="1" w:name="OLE_LINK62"/>
      <w:r w:rsidRPr="00FE292B">
        <w:rPr>
          <w:rFonts w:ascii="Open Sans" w:hAnsi="Open Sans" w:cs="Open Sans"/>
          <w:sz w:val="20"/>
          <w:szCs w:val="20"/>
        </w:rPr>
        <w:t xml:space="preserve">que representam, aproximadamente, 4,30% (quatro inteiros e trinta centésimos por cento) dos ativos totais da Companhia contabilizados em suas demonstrações financeiras de 31 de </w:t>
      </w:r>
      <w:r w:rsidRPr="00FE292B">
        <w:rPr>
          <w:rFonts w:ascii="Open Sans" w:hAnsi="Open Sans" w:cs="Open Sans"/>
          <w:sz w:val="20"/>
          <w:szCs w:val="20"/>
        </w:rPr>
        <w:lastRenderedPageBreak/>
        <w:t xml:space="preserve">março de 2020, sendo que o Patrimônio Cindido será incorporado pela AGROJALLES S.A., </w:t>
      </w:r>
      <w:bookmarkEnd w:id="0"/>
      <w:bookmarkEnd w:id="1"/>
      <w:r w:rsidRPr="00FE292B">
        <w:rPr>
          <w:rFonts w:ascii="Open Sans" w:hAnsi="Open Sans" w:cs="Open Sans"/>
          <w:sz w:val="20"/>
          <w:szCs w:val="20"/>
        </w:rPr>
        <w:t>sociedade anônima cujos atos constitutivos encontram-se em fase de arquivamento perante a Junta Comercial do Estado de Goiás – JUCEG, a qual passará a ter a mesma composição acionária que a Companhia; e</w:t>
      </w:r>
    </w:p>
    <w:p w14:paraId="38EEE879" w14:textId="77777777" w:rsidR="00FB0D24" w:rsidRPr="00FE292B" w:rsidRDefault="00FB0D24" w:rsidP="00FB0D24">
      <w:pPr>
        <w:pStyle w:val="PargrafodaLista"/>
        <w:spacing w:line="320" w:lineRule="exact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40592CB8" w14:textId="77777777" w:rsidR="00FB0D24" w:rsidRPr="00FE292B" w:rsidRDefault="00FB0D24" w:rsidP="00FB0D24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exact"/>
        <w:ind w:left="851" w:hanging="851"/>
        <w:jc w:val="both"/>
        <w:rPr>
          <w:rFonts w:ascii="Open Sans" w:hAnsi="Open Sans" w:cs="Open Sans"/>
          <w:sz w:val="20"/>
          <w:szCs w:val="20"/>
        </w:rPr>
      </w:pPr>
      <w:r w:rsidRPr="00FE292B">
        <w:rPr>
          <w:rFonts w:ascii="Open Sans" w:hAnsi="Open Sans" w:cs="Open Sans"/>
          <w:sz w:val="20"/>
          <w:szCs w:val="20"/>
        </w:rPr>
        <w:t>Revisão e ajustes às demonstrações financeiras da Companhia referentes aos exercícios encerrados em março de 2018, 2019 e 2020, por recomendação dos auditores independentes, que resultarão em redução do resultado dos referidos exercícios e consequente necessidade de retificação das deliberações de capitalização de lucros aprovadas nas assembleias gerais de acionistas da Companhia realizadas em 28 de junho de 2018, 27 de junho de 2019 e 25 de junho de 2020, respectivamente, ressaltando que tais ajustes não implicarão em descumprimento dos índices financeiros; e</w:t>
      </w:r>
    </w:p>
    <w:p w14:paraId="3815629D" w14:textId="77777777" w:rsidR="00FB0D24" w:rsidRPr="00FE292B" w:rsidRDefault="00FB0D24" w:rsidP="00FB0D24">
      <w:pPr>
        <w:pStyle w:val="PargrafodaLista"/>
        <w:widowControl w:val="0"/>
        <w:autoSpaceDE w:val="0"/>
        <w:autoSpaceDN w:val="0"/>
        <w:adjustRightInd w:val="0"/>
        <w:spacing w:line="320" w:lineRule="exact"/>
        <w:ind w:left="851"/>
        <w:jc w:val="both"/>
        <w:rPr>
          <w:rFonts w:ascii="Open Sans" w:hAnsi="Open Sans" w:cs="Open Sans"/>
          <w:sz w:val="20"/>
          <w:szCs w:val="20"/>
        </w:rPr>
      </w:pPr>
    </w:p>
    <w:p w14:paraId="2774FDB9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E367022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9789E99" w14:textId="77777777" w:rsidR="00FB0D24" w:rsidRPr="00FE292B" w:rsidRDefault="00FB0D24" w:rsidP="00FB0D24">
      <w:pPr>
        <w:pStyle w:val="Estilo"/>
        <w:pBdr>
          <w:bottom w:val="single" w:sz="4" w:space="1" w:color="auto"/>
        </w:pBdr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36909AE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FA53799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52A4D2" w14:textId="77777777" w:rsidR="00FB0D24" w:rsidRPr="00FE292B" w:rsidRDefault="00FB0D24" w:rsidP="00FB0D24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line="320" w:lineRule="exact"/>
        <w:ind w:left="0" w:firstLine="0"/>
        <w:jc w:val="both"/>
        <w:rPr>
          <w:rFonts w:ascii="Open Sans" w:eastAsia="Calibri" w:hAnsi="Open Sans" w:cs="Open Sans"/>
          <w:sz w:val="20"/>
          <w:szCs w:val="20"/>
        </w:rPr>
      </w:pPr>
      <w:r w:rsidRPr="00FE292B">
        <w:rPr>
          <w:rFonts w:ascii="Open Sans" w:eastAsia="Calibri" w:hAnsi="Open Sans" w:cs="Open Sans"/>
          <w:sz w:val="20"/>
          <w:szCs w:val="20"/>
        </w:rPr>
        <w:t>autorizar a Companhia, a Emissora e o Agente Fiduciário a praticarem todos os atos necessários, bem como celebrarem todos os documentos necessários para a efetivação do item (i) acima.</w:t>
      </w:r>
    </w:p>
    <w:p w14:paraId="2D8A0DFE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4478CF0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7F6877C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77B89801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FAC5725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FE292B" w14:paraId="46CCFA70" w14:textId="77777777" w:rsidTr="00DB18B7">
        <w:tc>
          <w:tcPr>
            <w:tcW w:w="2835" w:type="dxa"/>
          </w:tcPr>
          <w:p w14:paraId="11981F27" w14:textId="77777777" w:rsidR="00FB0D24" w:rsidRPr="00FE292B" w:rsidRDefault="00FB0D24" w:rsidP="00DB18B7">
            <w:pPr>
              <w:pStyle w:val="Estilo"/>
              <w:spacing w:before="120" w:line="32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FE292B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FE292B" w:rsidRDefault="00FB0D24" w:rsidP="00DB18B7">
            <w:pPr>
              <w:pStyle w:val="Estilo"/>
              <w:spacing w:before="120" w:line="32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FE292B" w:rsidRDefault="00FB0D24" w:rsidP="00DB18B7">
            <w:pPr>
              <w:pStyle w:val="Estilo"/>
              <w:spacing w:before="120" w:line="32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FE292B" w14:paraId="2B19C7FD" w14:textId="77777777" w:rsidTr="00DB18B7">
        <w:tc>
          <w:tcPr>
            <w:tcW w:w="2835" w:type="dxa"/>
          </w:tcPr>
          <w:p w14:paraId="40B06DC9" w14:textId="77777777" w:rsidR="00FB0D24" w:rsidRPr="00FE292B" w:rsidRDefault="00FB0D24" w:rsidP="00DB18B7">
            <w:pPr>
              <w:pStyle w:val="Estilo"/>
              <w:spacing w:before="120" w:line="32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FE292B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FE292B" w:rsidRDefault="00FB0D24" w:rsidP="00DB18B7">
            <w:pPr>
              <w:pStyle w:val="Estilo"/>
              <w:spacing w:before="120" w:line="32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FE292B" w:rsidRDefault="00FB0D24" w:rsidP="00DB18B7">
            <w:pPr>
              <w:pStyle w:val="Estilo"/>
              <w:spacing w:before="120" w:line="32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FE292B" w14:paraId="1B5C9A67" w14:textId="77777777" w:rsidTr="00DB18B7">
        <w:tc>
          <w:tcPr>
            <w:tcW w:w="2835" w:type="dxa"/>
          </w:tcPr>
          <w:p w14:paraId="171A0AB5" w14:textId="77777777" w:rsidR="00FB0D24" w:rsidRPr="00FE292B" w:rsidRDefault="00FB0D24" w:rsidP="00DB18B7">
            <w:pPr>
              <w:pStyle w:val="Estilo"/>
              <w:spacing w:before="120" w:line="32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FE292B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FE292B" w:rsidRDefault="00FB0D24" w:rsidP="00DB18B7">
            <w:pPr>
              <w:pStyle w:val="Estilo"/>
              <w:spacing w:before="120" w:line="32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FE292B" w:rsidRDefault="00FB0D24" w:rsidP="00DB18B7">
            <w:pPr>
              <w:pStyle w:val="Estilo"/>
              <w:spacing w:before="120" w:line="320" w:lineRule="exact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643E7FCE" w14:textId="7DB1644F" w:rsidR="00FB0D24" w:rsidRPr="00FE292B" w:rsidRDefault="00FB0D24" w:rsidP="0024169B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br w:type="page"/>
      </w: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ORIENTAÇÕES DE PREENCHIMENTO</w:t>
      </w:r>
    </w:p>
    <w:p w14:paraId="4CB9F0A8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0C85F7F4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5A08C8" w:rsidRPr="00FE292B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FE292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Pr="00FE292B">
        <w:rPr>
          <w:rFonts w:ascii="Open Sans" w:hAnsi="Open Sans" w:cs="Open Sans"/>
          <w:sz w:val="20"/>
          <w:szCs w:val="20"/>
        </w:rPr>
        <w:t xml:space="preserve">Assembleia Geral de Titulares de Certificados de Recebíveis do Agronegócio </w:t>
      </w:r>
      <w:r w:rsidRPr="00FE292B">
        <w:rPr>
          <w:rFonts w:ascii="Open Sans" w:hAnsi="Open Sans" w:cs="Open Sans"/>
          <w:iCs/>
          <w:sz w:val="20"/>
          <w:szCs w:val="20"/>
        </w:rPr>
        <w:t>da 1ª (Primeira) Série da 2ª (Segunda) Emissão da Forte Securitizadora S.A</w:t>
      </w:r>
      <w:r w:rsidR="00CF7875" w:rsidRPr="00FE292B">
        <w:rPr>
          <w:rFonts w:ascii="Open Sans" w:hAnsi="Open Sans" w:cs="Open Sans"/>
          <w:iCs/>
          <w:sz w:val="20"/>
          <w:szCs w:val="20"/>
        </w:rPr>
        <w:t>.</w:t>
      </w: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FE292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FE292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CRA</w:t>
      </w: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FE292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Pr="00FE292B">
        <w:rPr>
          <w:rFonts w:ascii="Open Sans" w:hAnsi="Open Sans" w:cs="Open Sans"/>
          <w:iCs/>
          <w:sz w:val="20"/>
          <w:szCs w:val="20"/>
        </w:rPr>
        <w:t>Termo de Securitização de Direitos Creditórios do Agronegócio da 1ª (Primeira) Série da 2ª (Segunda) Emissão da Forte Securitizadora S.A.,</w:t>
      </w:r>
      <w:r w:rsidRPr="00FE292B">
        <w:rPr>
          <w:rFonts w:ascii="Open Sans" w:hAnsi="Open Sans" w:cs="Open Sans"/>
          <w:sz w:val="20"/>
          <w:szCs w:val="20"/>
        </w:rPr>
        <w:t xml:space="preserve"> celebrado em 11 de outubro de 2017 entre a Emissora e a </w:t>
      </w:r>
      <w:r w:rsidRPr="00FE292B">
        <w:rPr>
          <w:rFonts w:ascii="Open Sans" w:hAnsi="Open Sans" w:cs="Open Sans"/>
          <w:smallCaps/>
          <w:sz w:val="20"/>
          <w:szCs w:val="20"/>
        </w:rPr>
        <w:t>Vórtx Distribuidora de Títulos e Valores Mobiliários Ltda</w:t>
      </w:r>
      <w:r w:rsidRPr="00FE292B">
        <w:rPr>
          <w:rFonts w:ascii="Open Sans" w:hAnsi="Open Sans" w:cs="Open Sans"/>
          <w:sz w:val="20"/>
          <w:szCs w:val="20"/>
        </w:rPr>
        <w:t>. (“</w:t>
      </w:r>
      <w:r w:rsidRPr="00FE292B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FE292B">
        <w:rPr>
          <w:rFonts w:ascii="Open Sans" w:hAnsi="Open Sans" w:cs="Open Sans"/>
          <w:sz w:val="20"/>
          <w:szCs w:val="20"/>
        </w:rPr>
        <w:t>” e “</w:t>
      </w:r>
      <w:r w:rsidRPr="00FE292B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FE292B">
        <w:rPr>
          <w:rFonts w:ascii="Open Sans" w:hAnsi="Open Sans" w:cs="Open Sans"/>
          <w:sz w:val="20"/>
          <w:szCs w:val="20"/>
        </w:rPr>
        <w:t>”, respectivamente)</w:t>
      </w: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07C66C1" w14:textId="7B249E48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CRA (“</w:t>
      </w:r>
      <w:r w:rsidRPr="00FE292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CRA</w:t>
      </w: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5C019D" w:rsidRPr="00FE292B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da Instrução da Comissão de Valores Mobiliários (“</w:t>
      </w:r>
      <w:r w:rsidRPr="00FE292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CVM</w:t>
      </w: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>”) nº 625, de 14 de maio de 2020 (“</w:t>
      </w:r>
      <w:r w:rsidRPr="00FE292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CVM 625</w:t>
      </w: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>”).</w:t>
      </w:r>
    </w:p>
    <w:p w14:paraId="4F7ED141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77777777" w:rsidR="00FB0D24" w:rsidRPr="00FE292B" w:rsidRDefault="00FB0D24" w:rsidP="00FB0D24">
      <w:pPr>
        <w:pStyle w:val="Estilo"/>
        <w:numPr>
          <w:ilvl w:val="0"/>
          <w:numId w:val="6"/>
        </w:numPr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todos os campos, incluindo a indicação do nome ou denominação social completa do Titular de CRA e o número do CPF/ME ou CNPJ/ME, bem como indicação de endereço eletrônico e telefone para eventuais contatos deverão ser preenchidos; </w:t>
      </w:r>
    </w:p>
    <w:p w14:paraId="78083B9D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EE3F543" w14:textId="77777777" w:rsidR="00FB0D24" w:rsidRPr="00FE292B" w:rsidRDefault="00FB0D24" w:rsidP="00FB0D24">
      <w:pPr>
        <w:pStyle w:val="Estilo"/>
        <w:numPr>
          <w:ilvl w:val="0"/>
          <w:numId w:val="6"/>
        </w:numPr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77777777" w:rsidR="00FB0D24" w:rsidRPr="00FE292B" w:rsidRDefault="00FB0D24" w:rsidP="00FB0D24">
      <w:pPr>
        <w:pStyle w:val="Estilo"/>
        <w:numPr>
          <w:ilvl w:val="0"/>
          <w:numId w:val="6"/>
        </w:numPr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>ao final, o Titular de CRA ou seu(s) representante(s) legal(</w:t>
      </w:r>
      <w:proofErr w:type="spellStart"/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FE292B" w:rsidRDefault="00FB0D24" w:rsidP="00FB0D24">
      <w:pPr>
        <w:pStyle w:val="Estilo"/>
        <w:numPr>
          <w:ilvl w:val="0"/>
          <w:numId w:val="6"/>
        </w:numPr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FE292B" w:rsidRDefault="00FB0D24" w:rsidP="00FB0D24">
      <w:pPr>
        <w:pStyle w:val="Estilo"/>
        <w:pBdr>
          <w:bottom w:val="single" w:sz="12" w:space="1" w:color="auto"/>
        </w:pBdr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3A5700DD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O Titular de CRA que optar por exercer o seu direito de voto </w:t>
      </w:r>
      <w:r w:rsidR="00207A8F" w:rsidRPr="00FE292B">
        <w:rPr>
          <w:rFonts w:ascii="Open Sans" w:hAnsi="Open Sans" w:cs="Open Sans"/>
          <w:sz w:val="20"/>
          <w:szCs w:val="20"/>
          <w:shd w:val="clear" w:color="auto" w:fill="FFFFFF"/>
        </w:rPr>
        <w:t>à</w:t>
      </w: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</w:t>
      </w: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orientações a seguir: </w:t>
      </w:r>
    </w:p>
    <w:p w14:paraId="3F3266CD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FE292B" w:rsidRDefault="00FB0D24" w:rsidP="00FB0D24">
      <w:pPr>
        <w:pStyle w:val="Estilo"/>
        <w:numPr>
          <w:ilvl w:val="0"/>
          <w:numId w:val="7"/>
        </w:numPr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FE292B" w:rsidRDefault="00FB0D24" w:rsidP="00FB0D24">
      <w:pPr>
        <w:pStyle w:val="Estilo"/>
        <w:numPr>
          <w:ilvl w:val="0"/>
          <w:numId w:val="7"/>
        </w:numPr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7777777" w:rsidR="00FB0D24" w:rsidRPr="00FE292B" w:rsidRDefault="00FB0D24" w:rsidP="00FB0D24">
      <w:pPr>
        <w:pStyle w:val="Estilo"/>
        <w:numPr>
          <w:ilvl w:val="0"/>
          <w:numId w:val="8"/>
        </w:numPr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CRA; e (3) documento de identidade válido com foto do representante legal; e</w:t>
      </w:r>
    </w:p>
    <w:p w14:paraId="5C04B00A" w14:textId="77777777" w:rsidR="00FB0D24" w:rsidRPr="00FE292B" w:rsidRDefault="00FB0D24" w:rsidP="00FB0D24">
      <w:pPr>
        <w:pStyle w:val="Estilo"/>
        <w:spacing w:line="320" w:lineRule="exact"/>
        <w:ind w:left="709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77777777" w:rsidR="00FB0D24" w:rsidRPr="00FE292B" w:rsidRDefault="00FB0D24" w:rsidP="00FB0D24">
      <w:pPr>
        <w:pStyle w:val="Estilo"/>
        <w:numPr>
          <w:ilvl w:val="0"/>
          <w:numId w:val="8"/>
        </w:numPr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Geral de Titulares de CRA; e (3) documento de identidade válido com foto do representante legal.</w:t>
      </w:r>
    </w:p>
    <w:p w14:paraId="1690F3FA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FE292B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Caso a Emissora e o Agente Fiduciário recebam mais de uma Instrução de Voto do mesmo Titular de CRA, será considerada, para fins de contagem de votos na Assembleia, a Instrução de Voto mais recente enviada por tal Titular de CRA. </w:t>
      </w:r>
    </w:p>
    <w:p w14:paraId="666E3EBB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O Titular de CRA que fizer o envio da Instrução de Voto e esta for considerada válida não precisará acessar o </w:t>
      </w:r>
      <w:r w:rsidRPr="00871DF6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3º, § 4º, inciso I, da Instrução CVM 625. Contudo, será desconsiderada a Instrução de Voto anteriormente enviada por tal Titular de CRA ou por seu representante legal caso estes participem da Assembleia através de acesso ao </w:t>
      </w:r>
      <w:r w:rsidRPr="00871DF6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artigo 3º, § 4º, inciso II, no artigo 7º, § 1º, e no artigo 9º, inciso I, todos da Instrução CVM 625. </w:t>
      </w:r>
    </w:p>
    <w:p w14:paraId="47D14F52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3DCE278" w14:textId="77777777" w:rsidR="00FB0D24" w:rsidRPr="00FE292B" w:rsidRDefault="00FB0D24" w:rsidP="00FB0D24">
      <w:pPr>
        <w:pStyle w:val="Estilo"/>
        <w:spacing w:line="320" w:lineRule="exact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</w:p>
    <w:p w14:paraId="0BE8DBBB" w14:textId="77777777" w:rsidR="00FB0D24" w:rsidRPr="00FE292B" w:rsidRDefault="00FB0D24" w:rsidP="00FB0D24">
      <w:pPr>
        <w:pStyle w:val="Estilo"/>
        <w:spacing w:line="320" w:lineRule="exact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E292B">
        <w:rPr>
          <w:rFonts w:ascii="Open Sans" w:hAnsi="Open Sans" w:cs="Open Sans"/>
          <w:sz w:val="20"/>
          <w:szCs w:val="20"/>
          <w:shd w:val="clear" w:color="auto" w:fill="FFFFFF"/>
        </w:rPr>
        <w:t>* * * * *</w:t>
      </w:r>
    </w:p>
    <w:p w14:paraId="5E83B002" w14:textId="77777777" w:rsidR="008C3134" w:rsidRPr="00FE292B" w:rsidRDefault="008C3134" w:rsidP="00FB0D24">
      <w:pPr>
        <w:rPr>
          <w:rFonts w:ascii="Open Sans" w:hAnsi="Open Sans" w:cs="Open Sans"/>
        </w:rPr>
      </w:pPr>
    </w:p>
    <w:sectPr w:rsidR="008C3134" w:rsidRPr="00FE292B" w:rsidSect="002408B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397" w:footer="2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C5B49" w14:textId="77777777" w:rsidR="007E6EBF" w:rsidRDefault="007E6EBF" w:rsidP="00421DD1">
      <w:r>
        <w:separator/>
      </w:r>
    </w:p>
  </w:endnote>
  <w:endnote w:type="continuationSeparator" w:id="0">
    <w:p w14:paraId="35875515" w14:textId="77777777" w:rsidR="007E6EBF" w:rsidRDefault="007E6EBF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terstate-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EC18" w14:textId="1704591D" w:rsidR="00AC6D95" w:rsidRDefault="00AC6D9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1CDB783E" wp14:editId="2AA099AC">
          <wp:simplePos x="0" y="0"/>
          <wp:positionH relativeFrom="margin">
            <wp:posOffset>0</wp:posOffset>
          </wp:positionH>
          <wp:positionV relativeFrom="paragraph">
            <wp:posOffset>176530</wp:posOffset>
          </wp:positionV>
          <wp:extent cx="2287905" cy="571500"/>
          <wp:effectExtent l="0" t="0" r="0" b="12700"/>
          <wp:wrapSquare wrapText="bothSides"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145C6" w14:textId="4E566076" w:rsidR="00A646AF" w:rsidRDefault="003854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5E8B569" wp14:editId="0C08863A">
          <wp:simplePos x="0" y="0"/>
          <wp:positionH relativeFrom="margin">
            <wp:posOffset>7962</wp:posOffset>
          </wp:positionH>
          <wp:positionV relativeFrom="paragraph">
            <wp:posOffset>308610</wp:posOffset>
          </wp:positionV>
          <wp:extent cx="2287905" cy="571500"/>
          <wp:effectExtent l="0" t="0" r="0" b="1270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Rodape_Jor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738CC" w14:textId="77777777" w:rsidR="007E6EBF" w:rsidRDefault="007E6EBF" w:rsidP="00421DD1">
      <w:r>
        <w:separator/>
      </w:r>
    </w:p>
  </w:footnote>
  <w:footnote w:type="continuationSeparator" w:id="0">
    <w:p w14:paraId="5781F820" w14:textId="77777777" w:rsidR="007E6EBF" w:rsidRDefault="007E6EBF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E3C1A" w14:textId="7DD2280C" w:rsidR="003854BB" w:rsidRDefault="00F80A5F" w:rsidP="003854BB">
    <w:pPr>
      <w:pStyle w:val="Cabealho"/>
      <w:tabs>
        <w:tab w:val="clear" w:pos="4320"/>
        <w:tab w:val="clear" w:pos="8640"/>
        <w:tab w:val="left" w:pos="2677"/>
      </w:tabs>
    </w:pPr>
    <w:r>
      <w:tab/>
    </w:r>
  </w:p>
  <w:p w14:paraId="33F5DDA7" w14:textId="6F53D2FD" w:rsidR="000604A2" w:rsidRDefault="003854BB" w:rsidP="003854BB">
    <w:pPr>
      <w:pStyle w:val="Cabealho"/>
      <w:tabs>
        <w:tab w:val="clear" w:pos="4320"/>
        <w:tab w:val="clear" w:pos="8640"/>
        <w:tab w:val="left" w:pos="1971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1B69544" wp14:editId="548904CE">
          <wp:simplePos x="0" y="0"/>
          <wp:positionH relativeFrom="margin">
            <wp:posOffset>-145581</wp:posOffset>
          </wp:positionH>
          <wp:positionV relativeFrom="margin">
            <wp:posOffset>-1010285</wp:posOffset>
          </wp:positionV>
          <wp:extent cx="2101215" cy="581025"/>
          <wp:effectExtent l="0" t="0" r="6985" b="3175"/>
          <wp:wrapSquare wrapText="bothSides"/>
          <wp:docPr id="8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2323" w14:textId="1B1C5461" w:rsidR="000604A2" w:rsidRDefault="000604A2" w:rsidP="00421DD1">
    <w:pPr>
      <w:pStyle w:val="Cabealho"/>
    </w:pPr>
  </w:p>
  <w:p w14:paraId="4961DCE4" w14:textId="1BF7A554" w:rsidR="000604A2" w:rsidRDefault="000604A2" w:rsidP="00421DD1">
    <w:pPr>
      <w:pStyle w:val="Cabealho"/>
    </w:pPr>
  </w:p>
  <w:p w14:paraId="4A63F550" w14:textId="77777777" w:rsidR="000604A2" w:rsidRDefault="000604A2" w:rsidP="00421DD1">
    <w:pPr>
      <w:pStyle w:val="Cabealho"/>
    </w:pPr>
  </w:p>
  <w:p w14:paraId="77C6D9C6" w14:textId="77777777" w:rsidR="000604A2" w:rsidRDefault="000604A2" w:rsidP="00421DD1">
    <w:pPr>
      <w:pStyle w:val="Cabealho"/>
    </w:pPr>
  </w:p>
  <w:p w14:paraId="29BAC356" w14:textId="38546909" w:rsidR="00A646AF" w:rsidRDefault="00A646AF" w:rsidP="00421D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EDD98" w14:textId="64CA22FC" w:rsidR="00A646AF" w:rsidRDefault="001D2B7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E2401A2" wp14:editId="74B3D34C">
          <wp:simplePos x="0" y="0"/>
          <wp:positionH relativeFrom="margin">
            <wp:posOffset>-668655</wp:posOffset>
          </wp:positionH>
          <wp:positionV relativeFrom="margin">
            <wp:posOffset>-1008702</wp:posOffset>
          </wp:positionV>
          <wp:extent cx="2101215" cy="581025"/>
          <wp:effectExtent l="0" t="0" r="0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odrigues_Jor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7E808" w14:textId="54CD5887" w:rsidR="00A646AF" w:rsidRDefault="00CB2856" w:rsidP="00CB2856">
    <w:pPr>
      <w:pStyle w:val="Cabealho"/>
      <w:tabs>
        <w:tab w:val="clear" w:pos="4320"/>
        <w:tab w:val="clear" w:pos="8640"/>
        <w:tab w:val="left" w:pos="1971"/>
      </w:tabs>
    </w:pPr>
    <w:r>
      <w:tab/>
    </w:r>
  </w:p>
  <w:p w14:paraId="3FDD769D" w14:textId="2FDC8A54" w:rsidR="00A646AF" w:rsidRDefault="000604A2" w:rsidP="000604A2">
    <w:pPr>
      <w:pStyle w:val="Cabealho"/>
      <w:tabs>
        <w:tab w:val="clear" w:pos="4320"/>
        <w:tab w:val="clear" w:pos="8640"/>
        <w:tab w:val="left" w:pos="2276"/>
      </w:tabs>
    </w:pPr>
    <w:r>
      <w:tab/>
    </w:r>
  </w:p>
  <w:p w14:paraId="67C7EA9E" w14:textId="5062806C" w:rsidR="00A646AF" w:rsidRDefault="00A646AF">
    <w:pPr>
      <w:pStyle w:val="Cabealho"/>
    </w:pPr>
  </w:p>
  <w:p w14:paraId="1096B829" w14:textId="77777777" w:rsidR="000604A2" w:rsidRDefault="000604A2">
    <w:pPr>
      <w:pStyle w:val="Cabealho"/>
    </w:pPr>
  </w:p>
  <w:p w14:paraId="0264F36B" w14:textId="77777777" w:rsidR="005B671D" w:rsidRDefault="005B671D">
    <w:pPr>
      <w:pStyle w:val="Cabealho"/>
    </w:pPr>
  </w:p>
  <w:p w14:paraId="6161EDD5" w14:textId="77777777" w:rsidR="00A646AF" w:rsidRPr="000604A2" w:rsidRDefault="00A646AF">
    <w:pPr>
      <w:pStyle w:val="Cabealh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654"/>
    <w:rsid w:val="000334DF"/>
    <w:rsid w:val="000604A2"/>
    <w:rsid w:val="000F505D"/>
    <w:rsid w:val="000F62F0"/>
    <w:rsid w:val="00107AB4"/>
    <w:rsid w:val="001626E6"/>
    <w:rsid w:val="001833FF"/>
    <w:rsid w:val="001B6CCE"/>
    <w:rsid w:val="001D2B7F"/>
    <w:rsid w:val="001E3E7C"/>
    <w:rsid w:val="00207A8F"/>
    <w:rsid w:val="002408B2"/>
    <w:rsid w:val="0024169B"/>
    <w:rsid w:val="00287D67"/>
    <w:rsid w:val="00300504"/>
    <w:rsid w:val="00352FD7"/>
    <w:rsid w:val="003854BB"/>
    <w:rsid w:val="003E46A9"/>
    <w:rsid w:val="00407DC5"/>
    <w:rsid w:val="00420E3A"/>
    <w:rsid w:val="00421DD1"/>
    <w:rsid w:val="00483DFE"/>
    <w:rsid w:val="0059614C"/>
    <w:rsid w:val="005A08C8"/>
    <w:rsid w:val="005B671D"/>
    <w:rsid w:val="005C019D"/>
    <w:rsid w:val="005F43DF"/>
    <w:rsid w:val="005F778A"/>
    <w:rsid w:val="006501DC"/>
    <w:rsid w:val="006866FD"/>
    <w:rsid w:val="006C7A91"/>
    <w:rsid w:val="006F1735"/>
    <w:rsid w:val="00711F1A"/>
    <w:rsid w:val="0079733C"/>
    <w:rsid w:val="007E6EBF"/>
    <w:rsid w:val="008012BE"/>
    <w:rsid w:val="00840295"/>
    <w:rsid w:val="0086322A"/>
    <w:rsid w:val="00871DF6"/>
    <w:rsid w:val="008C3134"/>
    <w:rsid w:val="009238FF"/>
    <w:rsid w:val="009D17C4"/>
    <w:rsid w:val="009F41DB"/>
    <w:rsid w:val="00A646AF"/>
    <w:rsid w:val="00AA7020"/>
    <w:rsid w:val="00AC6D95"/>
    <w:rsid w:val="00B0580D"/>
    <w:rsid w:val="00B70208"/>
    <w:rsid w:val="00B715C6"/>
    <w:rsid w:val="00BA27A0"/>
    <w:rsid w:val="00BC543A"/>
    <w:rsid w:val="00BF0670"/>
    <w:rsid w:val="00CA6105"/>
    <w:rsid w:val="00CB2856"/>
    <w:rsid w:val="00CF7875"/>
    <w:rsid w:val="00D92C2E"/>
    <w:rsid w:val="00DF608D"/>
    <w:rsid w:val="00E02B84"/>
    <w:rsid w:val="00E55133"/>
    <w:rsid w:val="00E90E14"/>
    <w:rsid w:val="00EA0716"/>
    <w:rsid w:val="00F10B35"/>
    <w:rsid w:val="00F343EF"/>
    <w:rsid w:val="00F80A5F"/>
    <w:rsid w:val="00F85F1F"/>
    <w:rsid w:val="00F91067"/>
    <w:rsid w:val="00FB0D24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basedOn w:val="Normal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22458611BA7547B5976911436D5643" ma:contentTypeVersion="14" ma:contentTypeDescription="Crie um novo documento." ma:contentTypeScope="" ma:versionID="a8ce4a04f9cfd9b30d6595393c38be70">
  <xsd:schema xmlns:xsd="http://www.w3.org/2001/XMLSchema" xmlns:xs="http://www.w3.org/2001/XMLSchema" xmlns:p="http://schemas.microsoft.com/office/2006/metadata/properties" xmlns:ns1="http://schemas.microsoft.com/sharepoint/v3" xmlns:ns2="9dee0a48-fc0c-418b-95fb-08cb8e59e960" xmlns:ns3="9069763c-e0cf-4490-964b-54ddf1228b1f" targetNamespace="http://schemas.microsoft.com/office/2006/metadata/properties" ma:root="true" ma:fieldsID="9b1e66546e058d64489209c665567adc" ns1:_="" ns2:_="" ns3:_="">
    <xsd:import namespace="http://schemas.microsoft.com/sharepoint/v3"/>
    <xsd:import namespace="9dee0a48-fc0c-418b-95fb-08cb8e59e960"/>
    <xsd:import namespace="9069763c-e0cf-4490-964b-54ddf1228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0a48-fc0c-418b-95fb-08cb8e59e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763c-e0cf-4490-964b-54ddf1228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AD0AA1-2A9C-4973-AEA2-527EB657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e0a48-fc0c-418b-95fb-08cb8e59e960"/>
    <ds:schemaRef ds:uri="9069763c-e0cf-4490-964b-54ddf1228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1128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Jacqueline Favraud</cp:lastModifiedBy>
  <cp:revision>13</cp:revision>
  <cp:lastPrinted>2018-10-25T17:36:00Z</cp:lastPrinted>
  <dcterms:created xsi:type="dcterms:W3CDTF">2020-10-13T15:38:00Z</dcterms:created>
  <dcterms:modified xsi:type="dcterms:W3CDTF">2020-11-03T15:51:00Z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0x0101000022458611BA7547B5976911436D5643</vt:lpwstr>
  </property>
</Properties>
</file>