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98F68" w14:textId="77777777" w:rsidR="00FB0D24" w:rsidRPr="00C41816" w:rsidRDefault="00FB0D24" w:rsidP="00C41816">
      <w:pPr>
        <w:tabs>
          <w:tab w:val="left" w:pos="7320"/>
        </w:tabs>
        <w:ind w:firstLine="16"/>
        <w:jc w:val="center"/>
        <w:rPr>
          <w:rFonts w:ascii="Open Sans" w:hAnsi="Open Sans" w:cs="Open Sans"/>
          <w:b/>
          <w:sz w:val="20"/>
          <w:szCs w:val="20"/>
        </w:rPr>
      </w:pPr>
      <w:r w:rsidRPr="00C41816">
        <w:rPr>
          <w:rFonts w:ascii="Open Sans" w:hAnsi="Open Sans" w:cs="Open Sans"/>
          <w:b/>
          <w:sz w:val="20"/>
          <w:szCs w:val="20"/>
        </w:rPr>
        <w:t>FORTE SECURITIZADORA S.A.</w:t>
      </w:r>
    </w:p>
    <w:p w14:paraId="35FF5A87" w14:textId="77777777" w:rsidR="00FB0D24" w:rsidRPr="00C41816" w:rsidRDefault="00FB0D24" w:rsidP="00C41816">
      <w:pPr>
        <w:tabs>
          <w:tab w:val="left" w:pos="7320"/>
        </w:tabs>
        <w:ind w:firstLine="16"/>
        <w:jc w:val="center"/>
        <w:rPr>
          <w:rFonts w:ascii="Open Sans" w:hAnsi="Open Sans" w:cs="Open Sans"/>
          <w:sz w:val="20"/>
          <w:szCs w:val="20"/>
        </w:rPr>
      </w:pPr>
      <w:r w:rsidRPr="00C41816">
        <w:rPr>
          <w:rFonts w:ascii="Open Sans" w:hAnsi="Open Sans" w:cs="Open Sans"/>
          <w:sz w:val="20"/>
          <w:szCs w:val="20"/>
        </w:rPr>
        <w:t>CNPJ/ME nº 12.979.898/0001-70</w:t>
      </w:r>
    </w:p>
    <w:p w14:paraId="2040CD67" w14:textId="77777777" w:rsidR="00FB0D24" w:rsidRPr="00C41816" w:rsidRDefault="00FB0D24" w:rsidP="00C41816">
      <w:pPr>
        <w:jc w:val="center"/>
        <w:rPr>
          <w:rFonts w:ascii="Open Sans" w:hAnsi="Open Sans" w:cs="Open Sans"/>
          <w:sz w:val="20"/>
          <w:szCs w:val="20"/>
        </w:rPr>
      </w:pPr>
      <w:r w:rsidRPr="00C41816">
        <w:rPr>
          <w:rFonts w:ascii="Open Sans" w:hAnsi="Open Sans" w:cs="Open Sans"/>
          <w:sz w:val="20"/>
          <w:szCs w:val="20"/>
        </w:rPr>
        <w:t>NIRE 35.3.0051294-4</w:t>
      </w:r>
    </w:p>
    <w:p w14:paraId="7114B285" w14:textId="77777777" w:rsidR="00FB0D24" w:rsidRPr="00C41816" w:rsidRDefault="00FB0D24" w:rsidP="00C41816">
      <w:pPr>
        <w:pStyle w:val="Estilo"/>
        <w:jc w:val="center"/>
        <w:rPr>
          <w:rFonts w:ascii="Open Sans" w:hAnsi="Open Sans" w:cs="Open Sans"/>
          <w:b/>
          <w:bCs/>
          <w:sz w:val="20"/>
          <w:szCs w:val="20"/>
        </w:rPr>
      </w:pPr>
    </w:p>
    <w:p w14:paraId="42118ACF" w14:textId="0D48143D" w:rsidR="00FB0D24" w:rsidRPr="00C41816" w:rsidRDefault="00FB0D24" w:rsidP="00C41816">
      <w:pPr>
        <w:jc w:val="both"/>
        <w:rPr>
          <w:rFonts w:ascii="Open Sans" w:hAnsi="Open Sans" w:cs="Open Sans"/>
          <w:b/>
          <w:caps/>
          <w:sz w:val="20"/>
          <w:szCs w:val="20"/>
        </w:rPr>
      </w:pPr>
      <w:r w:rsidRPr="00C41816">
        <w:rPr>
          <w:rFonts w:ascii="Open Sans" w:hAnsi="Open Sans" w:cs="Open Sans"/>
          <w:b/>
          <w:caps/>
          <w:sz w:val="20"/>
          <w:szCs w:val="20"/>
        </w:rPr>
        <w:t xml:space="preserve">INSTRUÇÃO DE VOTO </w:t>
      </w:r>
      <w:r w:rsidR="00CF7875" w:rsidRPr="00C41816">
        <w:rPr>
          <w:rFonts w:ascii="Open Sans" w:hAnsi="Open Sans" w:cs="Open Sans"/>
          <w:b/>
          <w:caps/>
          <w:sz w:val="20"/>
          <w:szCs w:val="20"/>
        </w:rPr>
        <w:t>À</w:t>
      </w:r>
      <w:r w:rsidRPr="00C41816">
        <w:rPr>
          <w:rFonts w:ascii="Open Sans" w:hAnsi="Open Sans" w:cs="Open Sans"/>
          <w:b/>
          <w:caps/>
          <w:sz w:val="20"/>
          <w:szCs w:val="20"/>
        </w:rPr>
        <w:t xml:space="preserve"> DISTÂNCIA PARA A </w:t>
      </w:r>
      <w:r w:rsidR="00BC2FE8" w:rsidRPr="00C41816">
        <w:rPr>
          <w:rFonts w:ascii="Open Sans" w:hAnsi="Open Sans" w:cs="Open Sans"/>
          <w:b/>
          <w:bCs/>
          <w:color w:val="000000" w:themeColor="text1"/>
          <w:sz w:val="20"/>
          <w:szCs w:val="20"/>
        </w:rPr>
        <w:t xml:space="preserve">ASSEMBLEIA GERAL DE TITULARES DOS CERTIFICADOS DE RECEBÍVEIS IMOBILIÁRIOS DAS </w:t>
      </w:r>
      <w:bookmarkStart w:id="0" w:name="_Hlk40114722"/>
      <w:r w:rsidR="00BC2FE8" w:rsidRPr="00C41816">
        <w:rPr>
          <w:rFonts w:ascii="Open Sans" w:hAnsi="Open Sans" w:cs="Open Sans"/>
          <w:b/>
          <w:bCs/>
          <w:color w:val="000000" w:themeColor="text1"/>
          <w:sz w:val="20"/>
          <w:szCs w:val="20"/>
        </w:rPr>
        <w:t>280ª, 281ª E 282ª SÉRIE</w:t>
      </w:r>
      <w:bookmarkEnd w:id="0"/>
      <w:r w:rsidR="00BC2FE8" w:rsidRPr="00C41816">
        <w:rPr>
          <w:rFonts w:ascii="Open Sans" w:hAnsi="Open Sans" w:cs="Open Sans"/>
          <w:b/>
          <w:bCs/>
          <w:color w:val="000000" w:themeColor="text1"/>
          <w:sz w:val="20"/>
          <w:szCs w:val="20"/>
        </w:rPr>
        <w:t>S DA 1ª EMISSÃO DA FORTE SECURITIZADORA S.A.</w:t>
      </w:r>
      <w:r w:rsidR="005A08C8" w:rsidRPr="00C41816">
        <w:rPr>
          <w:rFonts w:ascii="Open Sans" w:hAnsi="Open Sans" w:cs="Open Sans"/>
          <w:b/>
          <w:sz w:val="20"/>
          <w:szCs w:val="20"/>
        </w:rPr>
        <w:t>,</w:t>
      </w:r>
      <w:r w:rsidRPr="00C41816">
        <w:rPr>
          <w:rFonts w:ascii="Open Sans" w:hAnsi="Open Sans" w:cs="Open Sans"/>
          <w:b/>
          <w:caps/>
          <w:sz w:val="20"/>
          <w:szCs w:val="20"/>
        </w:rPr>
        <w:t xml:space="preserve"> a ser realizada em </w:t>
      </w:r>
      <w:r w:rsidR="00BC2FE8" w:rsidRPr="00C41816">
        <w:rPr>
          <w:rFonts w:ascii="Open Sans" w:hAnsi="Open Sans" w:cs="Open Sans"/>
          <w:b/>
          <w:caps/>
          <w:sz w:val="20"/>
          <w:szCs w:val="20"/>
        </w:rPr>
        <w:t>PRIMEIRA</w:t>
      </w:r>
      <w:r w:rsidRPr="00C41816">
        <w:rPr>
          <w:rFonts w:ascii="Open Sans" w:hAnsi="Open Sans" w:cs="Open Sans"/>
          <w:b/>
          <w:caps/>
          <w:sz w:val="20"/>
          <w:szCs w:val="20"/>
        </w:rPr>
        <w:t xml:space="preserve"> convocação</w:t>
      </w:r>
      <w:r w:rsidR="00B0580D" w:rsidRPr="00C41816">
        <w:rPr>
          <w:rFonts w:ascii="Open Sans" w:hAnsi="Open Sans" w:cs="Open Sans"/>
          <w:b/>
          <w:caps/>
          <w:sz w:val="20"/>
          <w:szCs w:val="20"/>
        </w:rPr>
        <w:t xml:space="preserve"> em </w:t>
      </w:r>
      <w:r w:rsidR="00BC2FE8" w:rsidRPr="00C41816">
        <w:rPr>
          <w:rFonts w:ascii="Open Sans" w:hAnsi="Open Sans" w:cs="Open Sans"/>
          <w:b/>
          <w:caps/>
          <w:sz w:val="20"/>
          <w:szCs w:val="20"/>
        </w:rPr>
        <w:t xml:space="preserve">09 </w:t>
      </w:r>
      <w:r w:rsidR="00B0580D" w:rsidRPr="00C41816">
        <w:rPr>
          <w:rFonts w:ascii="Open Sans" w:hAnsi="Open Sans" w:cs="Open Sans"/>
          <w:b/>
          <w:caps/>
          <w:sz w:val="20"/>
          <w:szCs w:val="20"/>
        </w:rPr>
        <w:t xml:space="preserve">de </w:t>
      </w:r>
      <w:r w:rsidR="00BC2FE8" w:rsidRPr="00C41816">
        <w:rPr>
          <w:rFonts w:ascii="Open Sans" w:hAnsi="Open Sans" w:cs="Open Sans"/>
          <w:b/>
          <w:caps/>
          <w:sz w:val="20"/>
          <w:szCs w:val="20"/>
        </w:rPr>
        <w:t>dezembro</w:t>
      </w:r>
      <w:r w:rsidR="00B0580D" w:rsidRPr="00C41816">
        <w:rPr>
          <w:rFonts w:ascii="Open Sans" w:hAnsi="Open Sans" w:cs="Open Sans"/>
          <w:b/>
          <w:caps/>
          <w:sz w:val="20"/>
          <w:szCs w:val="20"/>
        </w:rPr>
        <w:t xml:space="preserve"> de 2020</w:t>
      </w:r>
      <w:r w:rsidRPr="00C41816">
        <w:rPr>
          <w:rFonts w:ascii="Open Sans" w:hAnsi="Open Sans" w:cs="Open Sans"/>
          <w:b/>
          <w:caps/>
          <w:sz w:val="20"/>
          <w:szCs w:val="20"/>
        </w:rPr>
        <w:t xml:space="preserve"> e/ou </w:t>
      </w:r>
      <w:r w:rsidR="00B0580D" w:rsidRPr="00C41816">
        <w:rPr>
          <w:rFonts w:ascii="Open Sans" w:hAnsi="Open Sans" w:cs="Open Sans"/>
          <w:b/>
          <w:caps/>
          <w:sz w:val="20"/>
          <w:szCs w:val="20"/>
        </w:rPr>
        <w:t xml:space="preserve">em </w:t>
      </w:r>
      <w:r w:rsidRPr="00C41816">
        <w:rPr>
          <w:rFonts w:ascii="Open Sans" w:hAnsi="Open Sans" w:cs="Open Sans"/>
          <w:b/>
          <w:caps/>
          <w:sz w:val="20"/>
          <w:szCs w:val="20"/>
        </w:rPr>
        <w:t>eventuais reaberturas</w:t>
      </w:r>
    </w:p>
    <w:p w14:paraId="3606EFA8" w14:textId="77777777" w:rsidR="00FB0D24" w:rsidRPr="00C41816" w:rsidRDefault="00FB0D24"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C41816" w14:paraId="21F40042" w14:textId="77777777" w:rsidTr="005B76D0">
        <w:trPr>
          <w:trHeight w:val="969"/>
        </w:trPr>
        <w:tc>
          <w:tcPr>
            <w:tcW w:w="2960" w:type="dxa"/>
          </w:tcPr>
          <w:p w14:paraId="75BEC917" w14:textId="240ECE15" w:rsidR="00FB0D24" w:rsidRPr="00C41816" w:rsidRDefault="00FB0D24" w:rsidP="00C41816">
            <w:pPr>
              <w:pStyle w:val="Estilo"/>
              <w:spacing w:before="120"/>
              <w:rPr>
                <w:rFonts w:ascii="Open Sans" w:hAnsi="Open Sans" w:cs="Open Sans"/>
                <w:shd w:val="clear" w:color="auto" w:fill="FFFFFF"/>
              </w:rPr>
            </w:pPr>
            <w:r w:rsidRPr="00C41816">
              <w:rPr>
                <w:rFonts w:ascii="Open Sans" w:hAnsi="Open Sans" w:cs="Open Sans"/>
                <w:shd w:val="clear" w:color="auto" w:fill="FFFFFF"/>
              </w:rPr>
              <w:t>Nome/Denominação do Titular de CR</w:t>
            </w:r>
            <w:r w:rsidR="00BC2FE8" w:rsidRPr="00C41816">
              <w:rPr>
                <w:rFonts w:ascii="Open Sans" w:hAnsi="Open Sans" w:cs="Open Sans"/>
                <w:shd w:val="clear" w:color="auto" w:fill="FFFFFF"/>
              </w:rPr>
              <w:t>I</w:t>
            </w:r>
          </w:p>
        </w:tc>
        <w:tc>
          <w:tcPr>
            <w:tcW w:w="5420" w:type="dxa"/>
          </w:tcPr>
          <w:p w14:paraId="333561C1" w14:textId="77777777" w:rsidR="00FB0D24" w:rsidRPr="00C41816" w:rsidRDefault="00FB0D24" w:rsidP="00C41816">
            <w:pPr>
              <w:pStyle w:val="Estilo"/>
              <w:spacing w:before="120"/>
              <w:jc w:val="both"/>
              <w:rPr>
                <w:rFonts w:ascii="Open Sans" w:hAnsi="Open Sans" w:cs="Open Sans"/>
                <w:shd w:val="clear" w:color="auto" w:fill="FFFFFF"/>
              </w:rPr>
            </w:pPr>
          </w:p>
        </w:tc>
      </w:tr>
      <w:tr w:rsidR="00FB0D24" w:rsidRPr="00C41816" w14:paraId="4F9C9A9E" w14:textId="77777777" w:rsidTr="009238FF">
        <w:tc>
          <w:tcPr>
            <w:tcW w:w="2960" w:type="dxa"/>
          </w:tcPr>
          <w:p w14:paraId="28BAA0F8" w14:textId="54BBF070" w:rsidR="00FB0D24" w:rsidRPr="00C41816" w:rsidRDefault="00FB0D24" w:rsidP="00C41816">
            <w:pPr>
              <w:pStyle w:val="Estilo"/>
              <w:spacing w:before="120"/>
              <w:rPr>
                <w:rFonts w:ascii="Open Sans" w:hAnsi="Open Sans" w:cs="Open Sans"/>
                <w:shd w:val="clear" w:color="auto" w:fill="FFFFFF"/>
              </w:rPr>
            </w:pPr>
            <w:r w:rsidRPr="00C41816">
              <w:rPr>
                <w:rFonts w:ascii="Open Sans" w:hAnsi="Open Sans" w:cs="Open Sans"/>
                <w:shd w:val="clear" w:color="auto" w:fill="FFFFFF"/>
              </w:rPr>
              <w:t>CPF/CNPJ do Titular de CR</w:t>
            </w:r>
            <w:r w:rsidR="00BC2FE8" w:rsidRPr="00C41816">
              <w:rPr>
                <w:rFonts w:ascii="Open Sans" w:hAnsi="Open Sans" w:cs="Open Sans"/>
                <w:shd w:val="clear" w:color="auto" w:fill="FFFFFF"/>
              </w:rPr>
              <w:t>I</w:t>
            </w:r>
          </w:p>
          <w:p w14:paraId="1ABE1E64" w14:textId="77777777" w:rsidR="00FB0D24" w:rsidRPr="00C41816"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C41816" w:rsidRDefault="00FB0D24" w:rsidP="00C41816">
            <w:pPr>
              <w:pStyle w:val="Estilo"/>
              <w:spacing w:before="120"/>
              <w:jc w:val="both"/>
              <w:rPr>
                <w:rFonts w:ascii="Open Sans" w:hAnsi="Open Sans" w:cs="Open Sans"/>
                <w:shd w:val="clear" w:color="auto" w:fill="FFFFFF"/>
              </w:rPr>
            </w:pPr>
          </w:p>
        </w:tc>
      </w:tr>
      <w:tr w:rsidR="00FB0D24" w:rsidRPr="00C41816" w14:paraId="50C22F28" w14:textId="77777777" w:rsidTr="009238FF">
        <w:tc>
          <w:tcPr>
            <w:tcW w:w="2960" w:type="dxa"/>
          </w:tcPr>
          <w:p w14:paraId="45E47843" w14:textId="33C44A4D" w:rsidR="00FB0D24" w:rsidRPr="00C41816" w:rsidRDefault="00FB0D24" w:rsidP="00C41816">
            <w:pPr>
              <w:pStyle w:val="Estilo"/>
              <w:spacing w:before="120"/>
              <w:rPr>
                <w:rFonts w:ascii="Open Sans" w:hAnsi="Open Sans" w:cs="Open Sans"/>
                <w:shd w:val="clear" w:color="auto" w:fill="FFFFFF"/>
              </w:rPr>
            </w:pPr>
            <w:r w:rsidRPr="00C41816">
              <w:rPr>
                <w:rFonts w:ascii="Open Sans" w:hAnsi="Open Sans" w:cs="Open Sans"/>
                <w:i/>
                <w:iCs/>
                <w:shd w:val="clear" w:color="auto" w:fill="FFFFFF"/>
              </w:rPr>
              <w:t>E-mail</w:t>
            </w:r>
            <w:r w:rsidRPr="00C41816">
              <w:rPr>
                <w:rFonts w:ascii="Open Sans" w:hAnsi="Open Sans" w:cs="Open Sans"/>
                <w:shd w:val="clear" w:color="auto" w:fill="FFFFFF"/>
              </w:rPr>
              <w:t xml:space="preserve"> do Titular de CR</w:t>
            </w:r>
            <w:r w:rsidR="00BC2FE8" w:rsidRPr="00C41816">
              <w:rPr>
                <w:rFonts w:ascii="Open Sans" w:hAnsi="Open Sans" w:cs="Open Sans"/>
                <w:shd w:val="clear" w:color="auto" w:fill="FFFFFF"/>
              </w:rPr>
              <w:t>I</w:t>
            </w:r>
          </w:p>
          <w:p w14:paraId="68E68C83" w14:textId="77777777" w:rsidR="00FB0D24" w:rsidRPr="00C41816"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C41816" w:rsidRDefault="00FB0D24" w:rsidP="00C41816">
            <w:pPr>
              <w:pStyle w:val="Estilo"/>
              <w:spacing w:before="120"/>
              <w:jc w:val="both"/>
              <w:rPr>
                <w:rFonts w:ascii="Open Sans" w:hAnsi="Open Sans" w:cs="Open Sans"/>
                <w:shd w:val="clear" w:color="auto" w:fill="FFFFFF"/>
              </w:rPr>
            </w:pPr>
          </w:p>
        </w:tc>
      </w:tr>
      <w:tr w:rsidR="00FB0D24" w:rsidRPr="00C41816" w14:paraId="2E187A9D" w14:textId="77777777" w:rsidTr="009238FF">
        <w:tc>
          <w:tcPr>
            <w:tcW w:w="2960" w:type="dxa"/>
          </w:tcPr>
          <w:p w14:paraId="4497E4C7" w14:textId="77777777" w:rsidR="00FB0D24" w:rsidRPr="00C41816" w:rsidRDefault="00FB0D24" w:rsidP="00C41816">
            <w:pPr>
              <w:pStyle w:val="Estilo"/>
              <w:spacing w:before="120"/>
              <w:rPr>
                <w:rFonts w:ascii="Open Sans" w:hAnsi="Open Sans" w:cs="Open Sans"/>
                <w:shd w:val="clear" w:color="auto" w:fill="FFFFFF"/>
              </w:rPr>
            </w:pPr>
            <w:r w:rsidRPr="00C41816">
              <w:rPr>
                <w:rFonts w:ascii="Open Sans" w:hAnsi="Open Sans" w:cs="Open Sans"/>
                <w:shd w:val="clear" w:color="auto" w:fill="FFFFFF"/>
              </w:rPr>
              <w:t>Telefones para Contato</w:t>
            </w:r>
          </w:p>
          <w:p w14:paraId="12307891" w14:textId="77777777" w:rsidR="00FB0D24" w:rsidRPr="00C41816"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C41816" w:rsidRDefault="00FB0D24" w:rsidP="00C41816">
            <w:pPr>
              <w:pStyle w:val="Estilo"/>
              <w:spacing w:before="120"/>
              <w:jc w:val="both"/>
              <w:rPr>
                <w:rFonts w:ascii="Open Sans" w:hAnsi="Open Sans" w:cs="Open Sans"/>
                <w:shd w:val="clear" w:color="auto" w:fill="FFFFFF"/>
              </w:rPr>
            </w:pPr>
          </w:p>
        </w:tc>
      </w:tr>
    </w:tbl>
    <w:p w14:paraId="5C197AD4" w14:textId="77777777" w:rsidR="00BC543A" w:rsidRPr="00C41816"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C41816" w:rsidRDefault="00BC543A" w:rsidP="00C41816">
      <w:pPr>
        <w:pStyle w:val="Estilo"/>
        <w:jc w:val="both"/>
        <w:rPr>
          <w:rFonts w:ascii="Open Sans" w:hAnsi="Open Sans" w:cs="Open Sans"/>
          <w:b/>
          <w:sz w:val="20"/>
          <w:szCs w:val="20"/>
          <w:shd w:val="clear" w:color="auto" w:fill="FFFFFF"/>
        </w:rPr>
      </w:pPr>
    </w:p>
    <w:p w14:paraId="2545A030" w14:textId="05807529" w:rsidR="00FB0D24" w:rsidRPr="00C41816" w:rsidRDefault="00FB0D24" w:rsidP="00C41816">
      <w:pPr>
        <w:pStyle w:val="Estilo"/>
        <w:jc w:val="both"/>
        <w:rPr>
          <w:rFonts w:ascii="Open Sans" w:hAnsi="Open Sans" w:cs="Open Sans"/>
          <w:b/>
          <w:sz w:val="20"/>
          <w:szCs w:val="20"/>
          <w:shd w:val="clear" w:color="auto" w:fill="FFFFFF"/>
        </w:rPr>
      </w:pPr>
      <w:r w:rsidRPr="00C41816">
        <w:rPr>
          <w:rFonts w:ascii="Open Sans" w:hAnsi="Open Sans" w:cs="Open Sans"/>
          <w:b/>
          <w:sz w:val="20"/>
          <w:szCs w:val="20"/>
          <w:shd w:val="clear" w:color="auto" w:fill="FFFFFF"/>
        </w:rPr>
        <w:t>MANIFESTAÇÃO DE VOTO:</w:t>
      </w:r>
    </w:p>
    <w:p w14:paraId="7B1F2714" w14:textId="77777777" w:rsidR="00FB0D24" w:rsidRPr="00C41816" w:rsidRDefault="00FB0D24" w:rsidP="00C41816">
      <w:pPr>
        <w:pStyle w:val="Estilo"/>
        <w:jc w:val="both"/>
        <w:rPr>
          <w:rFonts w:ascii="Open Sans" w:hAnsi="Open Sans" w:cs="Open Sans"/>
          <w:sz w:val="20"/>
          <w:szCs w:val="20"/>
          <w:shd w:val="clear" w:color="auto" w:fill="FFFFFF"/>
        </w:rPr>
      </w:pPr>
    </w:p>
    <w:p w14:paraId="40592CB8" w14:textId="364D7AE1" w:rsidR="00FB0D24" w:rsidRPr="00C41816" w:rsidRDefault="00545A99" w:rsidP="00C41816">
      <w:pPr>
        <w:widowControl w:val="0"/>
        <w:autoSpaceDE w:val="0"/>
        <w:autoSpaceDN w:val="0"/>
        <w:adjustRightInd w:val="0"/>
        <w:jc w:val="both"/>
        <w:rPr>
          <w:rFonts w:ascii="Open Sans" w:hAnsi="Open Sans" w:cs="Open Sans"/>
          <w:sz w:val="20"/>
          <w:szCs w:val="20"/>
        </w:rPr>
      </w:pPr>
      <w:r w:rsidRPr="00C41816">
        <w:rPr>
          <w:rFonts w:ascii="Open Sans" w:hAnsi="Open Sans" w:cs="Open Sans"/>
          <w:b/>
          <w:bCs/>
          <w:color w:val="000000" w:themeColor="text1"/>
          <w:sz w:val="20"/>
          <w:szCs w:val="20"/>
        </w:rPr>
        <w:t>(i)</w:t>
      </w:r>
      <w:r w:rsidRPr="00C41816">
        <w:rPr>
          <w:rFonts w:ascii="Open Sans" w:hAnsi="Open Sans" w:cs="Open Sans"/>
          <w:b/>
          <w:bCs/>
          <w:color w:val="000000" w:themeColor="text1"/>
          <w:sz w:val="20"/>
          <w:szCs w:val="20"/>
        </w:rPr>
        <w:tab/>
      </w:r>
      <w:r w:rsidR="00607502" w:rsidRPr="00C41816">
        <w:rPr>
          <w:rFonts w:ascii="Open Sans" w:hAnsi="Open Sans" w:cs="Open Sans"/>
          <w:color w:val="000000" w:themeColor="text1"/>
          <w:sz w:val="20"/>
          <w:szCs w:val="20"/>
        </w:rPr>
        <w:t>a aprovação ou não da concessão de carência no pagamento das Amortizações Programadas dos CRI, conforme previstas no Anexo III do Termo de Securitização, por um período de 6 (seis) meses desta Assembleia Geral, ou seja, com relação às parcelas vincendas nos meses de outubro/2020 (inclusive) a março/2021 (inclusive) mantendo-se o pagamento da Remuneração dos CRI (“</w:t>
      </w:r>
      <w:r w:rsidR="00607502" w:rsidRPr="00C41816">
        <w:rPr>
          <w:rFonts w:ascii="Open Sans" w:hAnsi="Open Sans" w:cs="Open Sans"/>
          <w:color w:val="000000" w:themeColor="text1"/>
          <w:sz w:val="20"/>
          <w:szCs w:val="20"/>
          <w:u w:val="single"/>
        </w:rPr>
        <w:t>Carência de Amortização Programada dos CRI</w:t>
      </w:r>
      <w:r w:rsidR="00607502" w:rsidRPr="00C41816">
        <w:rPr>
          <w:rFonts w:ascii="Open Sans" w:hAnsi="Open Sans" w:cs="Open Sans"/>
          <w:color w:val="000000" w:themeColor="text1"/>
          <w:sz w:val="20"/>
          <w:szCs w:val="20"/>
        </w:rPr>
        <w:t>”), passando as datas de pagamento de Remuneração e de Amortização Programada dos CRI, conforme dispostas no Anexo III do Termo de Securitização, a viger conforme o Anexo II da presente ata (“</w:t>
      </w:r>
      <w:r w:rsidR="00607502" w:rsidRPr="00C41816">
        <w:rPr>
          <w:rFonts w:ascii="Open Sans" w:hAnsi="Open Sans" w:cs="Open Sans"/>
          <w:color w:val="000000" w:themeColor="text1"/>
          <w:sz w:val="20"/>
          <w:szCs w:val="20"/>
          <w:u w:val="single"/>
        </w:rPr>
        <w:t>Nova Tabela Vigente</w:t>
      </w:r>
      <w:r w:rsidR="00607502" w:rsidRPr="00C41816">
        <w:rPr>
          <w:rFonts w:ascii="Open Sans" w:hAnsi="Open Sans" w:cs="Open Sans"/>
          <w:color w:val="000000" w:themeColor="text1"/>
          <w:sz w:val="20"/>
          <w:szCs w:val="20"/>
        </w:rPr>
        <w:t>”)</w:t>
      </w:r>
      <w:r w:rsidRPr="00C41816">
        <w:rPr>
          <w:rFonts w:ascii="Open Sans" w:hAnsi="Open Sans" w:cs="Open Sans"/>
          <w:color w:val="000000" w:themeColor="text1"/>
          <w:sz w:val="20"/>
          <w:szCs w:val="20"/>
        </w:rPr>
        <w:t>;</w:t>
      </w:r>
      <w:r w:rsidRPr="00C41816">
        <w:rPr>
          <w:rFonts w:ascii="Open Sans" w:hAnsi="Open Sans" w:cs="Open Sans"/>
          <w:sz w:val="20"/>
          <w:szCs w:val="20"/>
        </w:rPr>
        <w:t xml:space="preserve"> </w:t>
      </w:r>
      <w:r w:rsidR="00FB0D24" w:rsidRPr="00C41816">
        <w:rPr>
          <w:rFonts w:ascii="Open Sans" w:hAnsi="Open Sans" w:cs="Open Sans"/>
          <w:sz w:val="20"/>
          <w:szCs w:val="20"/>
        </w:rPr>
        <w:t>e</w:t>
      </w:r>
    </w:p>
    <w:p w14:paraId="3815629D" w14:textId="77777777" w:rsidR="00FB0D24" w:rsidRPr="00C41816" w:rsidRDefault="00FB0D24" w:rsidP="00C41816">
      <w:pPr>
        <w:pStyle w:val="PargrafodaLista"/>
        <w:widowControl w:val="0"/>
        <w:autoSpaceDE w:val="0"/>
        <w:autoSpaceDN w:val="0"/>
        <w:adjustRightInd w:val="0"/>
        <w:ind w:left="851"/>
        <w:jc w:val="both"/>
        <w:rPr>
          <w:rFonts w:ascii="Open Sans" w:hAnsi="Open Sans" w:cs="Open Sans"/>
          <w:sz w:val="20"/>
          <w:szCs w:val="20"/>
        </w:rPr>
      </w:pPr>
    </w:p>
    <w:p w14:paraId="2774FDB9" w14:textId="77777777" w:rsidR="00FB0D24" w:rsidRPr="00C41816" w:rsidRDefault="00FB0D24" w:rsidP="00C41816">
      <w:pPr>
        <w:pStyle w:val="Estilo"/>
        <w:jc w:val="both"/>
        <w:rPr>
          <w:rFonts w:ascii="Open Sans" w:hAnsi="Open Sans" w:cs="Open Sans"/>
          <w:b/>
          <w:sz w:val="20"/>
          <w:szCs w:val="20"/>
          <w:shd w:val="clear" w:color="auto" w:fill="FFFFFF"/>
        </w:rPr>
      </w:pPr>
      <w:r w:rsidRPr="00C41816">
        <w:rPr>
          <w:rFonts w:ascii="Open Sans" w:hAnsi="Open Sans" w:cs="Open Sans"/>
          <w:b/>
          <w:sz w:val="20"/>
          <w:szCs w:val="20"/>
          <w:shd w:val="clear" w:color="auto" w:fill="FFFFFF"/>
        </w:rPr>
        <w:t>[</w:t>
      </w:r>
      <w:r w:rsidRPr="00C41816">
        <w:rPr>
          <w:rFonts w:ascii="Open Sans" w:hAnsi="Open Sans" w:cs="Open Sans"/>
          <w:b/>
          <w:sz w:val="20"/>
          <w:szCs w:val="20"/>
          <w:shd w:val="clear" w:color="auto" w:fill="FFFFFF"/>
        </w:rPr>
        <w:tab/>
        <w:t>] APROVAR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REJEITAR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ABSTER-SE</w:t>
      </w:r>
    </w:p>
    <w:p w14:paraId="19789E99" w14:textId="77777777" w:rsidR="00FB0D24" w:rsidRPr="00C41816" w:rsidRDefault="00FB0D24" w:rsidP="00C41816">
      <w:pPr>
        <w:pStyle w:val="Estilo"/>
        <w:pBdr>
          <w:bottom w:val="single" w:sz="4" w:space="1" w:color="auto"/>
        </w:pBdr>
        <w:jc w:val="both"/>
        <w:rPr>
          <w:rFonts w:ascii="Open Sans" w:hAnsi="Open Sans" w:cs="Open Sans"/>
          <w:sz w:val="20"/>
          <w:szCs w:val="20"/>
          <w:shd w:val="clear" w:color="auto" w:fill="FFFFFF"/>
        </w:rPr>
      </w:pPr>
    </w:p>
    <w:p w14:paraId="436909AE" w14:textId="2C4A7E3D" w:rsidR="00FB0D24" w:rsidRPr="00C41816" w:rsidRDefault="00FB0D24" w:rsidP="00C41816">
      <w:pPr>
        <w:pStyle w:val="Estilo"/>
        <w:jc w:val="both"/>
        <w:rPr>
          <w:rFonts w:ascii="Open Sans" w:hAnsi="Open Sans" w:cs="Open Sans"/>
          <w:sz w:val="20"/>
          <w:szCs w:val="20"/>
          <w:shd w:val="clear" w:color="auto" w:fill="FFFFFF"/>
        </w:rPr>
      </w:pPr>
    </w:p>
    <w:p w14:paraId="40D9A67A" w14:textId="77777777" w:rsidR="008139B6" w:rsidRPr="00C41816" w:rsidRDefault="008139B6" w:rsidP="00C41816">
      <w:pPr>
        <w:pStyle w:val="Estilo"/>
        <w:jc w:val="both"/>
        <w:rPr>
          <w:rFonts w:ascii="Open Sans" w:hAnsi="Open Sans" w:cs="Open Sans"/>
          <w:sz w:val="20"/>
          <w:szCs w:val="20"/>
          <w:shd w:val="clear" w:color="auto" w:fill="FFFFFF"/>
        </w:rPr>
      </w:pPr>
    </w:p>
    <w:p w14:paraId="1E87E5A7" w14:textId="5481F264" w:rsidR="008139B6" w:rsidRPr="00C41816" w:rsidRDefault="008139B6" w:rsidP="00C41816">
      <w:pPr>
        <w:pStyle w:val="PargrafodaLista"/>
        <w:widowControl w:val="0"/>
        <w:autoSpaceDE w:val="0"/>
        <w:autoSpaceDN w:val="0"/>
        <w:adjustRightInd w:val="0"/>
        <w:ind w:left="0"/>
        <w:jc w:val="both"/>
        <w:rPr>
          <w:rFonts w:ascii="Open Sans" w:eastAsia="Calibri" w:hAnsi="Open Sans" w:cs="Open Sans"/>
          <w:sz w:val="20"/>
          <w:szCs w:val="20"/>
        </w:rPr>
      </w:pPr>
      <w:r w:rsidRPr="00C41816">
        <w:rPr>
          <w:rFonts w:ascii="Open Sans" w:eastAsia="Calibri" w:hAnsi="Open Sans" w:cs="Open Sans"/>
          <w:b/>
          <w:bCs/>
          <w:sz w:val="20"/>
          <w:szCs w:val="20"/>
        </w:rPr>
        <w:t>(</w:t>
      </w:r>
      <w:proofErr w:type="spellStart"/>
      <w:r w:rsidRPr="00C41816">
        <w:rPr>
          <w:rFonts w:ascii="Open Sans" w:eastAsia="Calibri" w:hAnsi="Open Sans" w:cs="Open Sans"/>
          <w:b/>
          <w:bCs/>
          <w:sz w:val="20"/>
          <w:szCs w:val="20"/>
        </w:rPr>
        <w:t>ii</w:t>
      </w:r>
      <w:proofErr w:type="spellEnd"/>
      <w:r w:rsidRPr="00C41816">
        <w:rPr>
          <w:rFonts w:ascii="Open Sans" w:eastAsia="Calibri" w:hAnsi="Open Sans" w:cs="Open Sans"/>
          <w:b/>
          <w:bCs/>
          <w:sz w:val="20"/>
          <w:szCs w:val="20"/>
        </w:rPr>
        <w:t>)</w:t>
      </w:r>
      <w:r w:rsidRPr="00C41816">
        <w:rPr>
          <w:rFonts w:ascii="Open Sans" w:eastAsia="Calibri" w:hAnsi="Open Sans" w:cs="Open Sans"/>
          <w:b/>
          <w:bCs/>
          <w:sz w:val="20"/>
          <w:szCs w:val="20"/>
        </w:rPr>
        <w:tab/>
      </w:r>
      <w:r w:rsidR="00607502" w:rsidRPr="00C41816">
        <w:rPr>
          <w:rFonts w:ascii="Open Sans" w:hAnsi="Open Sans" w:cs="Open Sans"/>
          <w:color w:val="000000" w:themeColor="text1"/>
          <w:sz w:val="20"/>
          <w:szCs w:val="20"/>
        </w:rPr>
        <w:t xml:space="preserve">a aprovação ou não para que seja temporariamente estabelecido um mecanismo de </w:t>
      </w:r>
      <w:r w:rsidR="00607502" w:rsidRPr="00C41816">
        <w:rPr>
          <w:rFonts w:ascii="Open Sans" w:hAnsi="Open Sans" w:cs="Open Sans"/>
          <w:i/>
          <w:iCs/>
          <w:color w:val="000000" w:themeColor="text1"/>
          <w:sz w:val="20"/>
          <w:szCs w:val="20"/>
        </w:rPr>
        <w:t xml:space="preserve">cash </w:t>
      </w:r>
      <w:proofErr w:type="spellStart"/>
      <w:r w:rsidR="00607502" w:rsidRPr="00C41816">
        <w:rPr>
          <w:rFonts w:ascii="Open Sans" w:hAnsi="Open Sans" w:cs="Open Sans"/>
          <w:i/>
          <w:iCs/>
          <w:color w:val="000000" w:themeColor="text1"/>
          <w:sz w:val="20"/>
          <w:szCs w:val="20"/>
        </w:rPr>
        <w:t>sweep</w:t>
      </w:r>
      <w:proofErr w:type="spellEnd"/>
      <w:r w:rsidR="00607502" w:rsidRPr="00C41816">
        <w:rPr>
          <w:rFonts w:ascii="Open Sans" w:hAnsi="Open Sans" w:cs="Open Sans"/>
          <w:color w:val="000000" w:themeColor="text1"/>
          <w:sz w:val="20"/>
          <w:szCs w:val="20"/>
        </w:rPr>
        <w:t xml:space="preserve"> para realização de amortização extraordinária dos CRI, mecanismo este que: (</w:t>
      </w:r>
      <w:proofErr w:type="spellStart"/>
      <w:r w:rsidR="00607502" w:rsidRPr="00C41816">
        <w:rPr>
          <w:rFonts w:ascii="Open Sans" w:hAnsi="Open Sans" w:cs="Open Sans"/>
          <w:color w:val="000000" w:themeColor="text1"/>
          <w:sz w:val="20"/>
          <w:szCs w:val="20"/>
        </w:rPr>
        <w:t>ii.a</w:t>
      </w:r>
      <w:proofErr w:type="spellEnd"/>
      <w:r w:rsidR="00607502" w:rsidRPr="00C41816">
        <w:rPr>
          <w:rFonts w:ascii="Open Sans" w:hAnsi="Open Sans" w:cs="Open Sans"/>
          <w:color w:val="000000" w:themeColor="text1"/>
          <w:sz w:val="20"/>
          <w:szCs w:val="20"/>
        </w:rPr>
        <w:t xml:space="preserve">) consistirá na destinação, sempre nas mesmas datas de pagamento dos CRI, observando-se a Nova Tabela Vigente, de 50% (cinquenta por cento) dos recursos que seriam liberados à Conta Autorizada da Cedente no âmbito da ordem de prioridade de pagamentos prevista </w:t>
      </w:r>
      <w:r w:rsidR="00607502" w:rsidRPr="00C41816">
        <w:rPr>
          <w:rFonts w:ascii="Open Sans" w:hAnsi="Open Sans" w:cs="Open Sans"/>
          <w:color w:val="000000" w:themeColor="text1"/>
          <w:sz w:val="20"/>
          <w:szCs w:val="20"/>
        </w:rPr>
        <w:lastRenderedPageBreak/>
        <w:t>na Cláusula XI do Termo de Securitização; e, cumulativamente, (</w:t>
      </w:r>
      <w:proofErr w:type="spellStart"/>
      <w:r w:rsidR="00607502" w:rsidRPr="00C41816">
        <w:rPr>
          <w:rFonts w:ascii="Open Sans" w:hAnsi="Open Sans" w:cs="Open Sans"/>
          <w:color w:val="000000" w:themeColor="text1"/>
          <w:sz w:val="20"/>
          <w:szCs w:val="20"/>
        </w:rPr>
        <w:t>ii.b</w:t>
      </w:r>
      <w:proofErr w:type="spellEnd"/>
      <w:r w:rsidR="00607502" w:rsidRPr="00C41816">
        <w:rPr>
          <w:rFonts w:ascii="Open Sans" w:hAnsi="Open Sans" w:cs="Open Sans"/>
          <w:color w:val="000000" w:themeColor="text1"/>
          <w:sz w:val="20"/>
          <w:szCs w:val="20"/>
        </w:rPr>
        <w:t>) deverá viger até o mês em que tanto o Índice de Fluxo Mensal quanto o Índice de Cobertura de Créditos forem verificados, cada qual, iguais ou superiores a 130% (cento e trinta por cento) (“</w:t>
      </w:r>
      <w:r w:rsidR="00607502" w:rsidRPr="00C41816">
        <w:rPr>
          <w:rFonts w:ascii="Open Sans" w:hAnsi="Open Sans" w:cs="Open Sans"/>
          <w:color w:val="000000" w:themeColor="text1"/>
          <w:sz w:val="20"/>
          <w:szCs w:val="20"/>
          <w:u w:val="single"/>
        </w:rPr>
        <w:t>Evento de Enquadramento Total</w:t>
      </w:r>
      <w:r w:rsidR="00607502" w:rsidRPr="00C41816">
        <w:rPr>
          <w:rFonts w:ascii="Open Sans" w:hAnsi="Open Sans" w:cs="Open Sans"/>
          <w:color w:val="000000" w:themeColor="text1"/>
          <w:sz w:val="20"/>
          <w:szCs w:val="20"/>
        </w:rPr>
        <w:t>”), independentemente de sua data (“</w:t>
      </w:r>
      <w:r w:rsidR="00607502" w:rsidRPr="00C41816">
        <w:rPr>
          <w:rFonts w:ascii="Open Sans" w:hAnsi="Open Sans" w:cs="Open Sans"/>
          <w:color w:val="000000" w:themeColor="text1"/>
          <w:sz w:val="20"/>
          <w:szCs w:val="20"/>
          <w:u w:val="single"/>
        </w:rPr>
        <w:t xml:space="preserve">Mecanismo de </w:t>
      </w:r>
      <w:r w:rsidR="00607502" w:rsidRPr="00C41816">
        <w:rPr>
          <w:rFonts w:ascii="Open Sans" w:hAnsi="Open Sans" w:cs="Open Sans"/>
          <w:i/>
          <w:iCs/>
          <w:color w:val="000000" w:themeColor="text1"/>
          <w:sz w:val="20"/>
          <w:szCs w:val="20"/>
          <w:u w:val="single"/>
        </w:rPr>
        <w:t xml:space="preserve">Cash </w:t>
      </w:r>
      <w:proofErr w:type="spellStart"/>
      <w:r w:rsidR="00607502" w:rsidRPr="00C41816">
        <w:rPr>
          <w:rFonts w:ascii="Open Sans" w:hAnsi="Open Sans" w:cs="Open Sans"/>
          <w:i/>
          <w:iCs/>
          <w:color w:val="000000" w:themeColor="text1"/>
          <w:sz w:val="20"/>
          <w:szCs w:val="20"/>
          <w:u w:val="single"/>
        </w:rPr>
        <w:t>Sweep</w:t>
      </w:r>
      <w:proofErr w:type="spellEnd"/>
      <w:r w:rsidR="00607502" w:rsidRPr="00C41816">
        <w:rPr>
          <w:rFonts w:ascii="Open Sans" w:hAnsi="Open Sans" w:cs="Open Sans"/>
          <w:color w:val="000000" w:themeColor="text1"/>
          <w:sz w:val="20"/>
          <w:szCs w:val="20"/>
        </w:rPr>
        <w:t>”)</w:t>
      </w:r>
      <w:r w:rsidRPr="00C41816">
        <w:rPr>
          <w:rFonts w:ascii="Open Sans" w:hAnsi="Open Sans" w:cs="Open Sans"/>
          <w:color w:val="000000" w:themeColor="text1"/>
          <w:sz w:val="20"/>
          <w:szCs w:val="20"/>
        </w:rPr>
        <w:t>;</w:t>
      </w:r>
    </w:p>
    <w:p w14:paraId="2D8A0DFE" w14:textId="77777777" w:rsidR="00FB0D24" w:rsidRPr="00C41816" w:rsidRDefault="00FB0D24" w:rsidP="00C41816">
      <w:pPr>
        <w:pStyle w:val="Estilo"/>
        <w:jc w:val="both"/>
        <w:rPr>
          <w:rFonts w:ascii="Open Sans" w:hAnsi="Open Sans" w:cs="Open Sans"/>
          <w:b/>
          <w:sz w:val="20"/>
          <w:szCs w:val="20"/>
          <w:shd w:val="clear" w:color="auto" w:fill="FFFFFF"/>
        </w:rPr>
      </w:pPr>
    </w:p>
    <w:p w14:paraId="67F6877C" w14:textId="77777777" w:rsidR="00FB0D24" w:rsidRPr="00C41816" w:rsidRDefault="00FB0D24" w:rsidP="00C41816">
      <w:pPr>
        <w:pStyle w:val="Estilo"/>
        <w:jc w:val="both"/>
        <w:rPr>
          <w:rFonts w:ascii="Open Sans" w:hAnsi="Open Sans" w:cs="Open Sans"/>
          <w:b/>
          <w:sz w:val="20"/>
          <w:szCs w:val="20"/>
          <w:shd w:val="clear" w:color="auto" w:fill="FFFFFF"/>
        </w:rPr>
      </w:pPr>
      <w:r w:rsidRPr="00C41816">
        <w:rPr>
          <w:rFonts w:ascii="Open Sans" w:hAnsi="Open Sans" w:cs="Open Sans"/>
          <w:b/>
          <w:sz w:val="20"/>
          <w:szCs w:val="20"/>
          <w:shd w:val="clear" w:color="auto" w:fill="FFFFFF"/>
        </w:rPr>
        <w:t>[</w:t>
      </w:r>
      <w:r w:rsidRPr="00C41816">
        <w:rPr>
          <w:rFonts w:ascii="Open Sans" w:hAnsi="Open Sans" w:cs="Open Sans"/>
          <w:b/>
          <w:sz w:val="20"/>
          <w:szCs w:val="20"/>
          <w:shd w:val="clear" w:color="auto" w:fill="FFFFFF"/>
        </w:rPr>
        <w:tab/>
        <w:t>] APROVAR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REJEITAR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ABSTER-SE</w:t>
      </w:r>
    </w:p>
    <w:p w14:paraId="10C5CEB4" w14:textId="77777777" w:rsidR="008139B6" w:rsidRPr="00C41816" w:rsidRDefault="008139B6" w:rsidP="00C41816">
      <w:pPr>
        <w:pStyle w:val="Estilo"/>
        <w:pBdr>
          <w:bottom w:val="single" w:sz="4" w:space="1" w:color="auto"/>
        </w:pBdr>
        <w:jc w:val="both"/>
        <w:rPr>
          <w:rFonts w:ascii="Open Sans" w:hAnsi="Open Sans" w:cs="Open Sans"/>
          <w:sz w:val="20"/>
          <w:szCs w:val="20"/>
          <w:shd w:val="clear" w:color="auto" w:fill="FFFFFF"/>
        </w:rPr>
      </w:pPr>
    </w:p>
    <w:p w14:paraId="0F979215" w14:textId="21C1BF93" w:rsidR="008139B6" w:rsidRPr="00C41816" w:rsidRDefault="008139B6" w:rsidP="00C41816">
      <w:pPr>
        <w:pStyle w:val="Estilo"/>
        <w:jc w:val="both"/>
        <w:rPr>
          <w:rFonts w:ascii="Open Sans" w:hAnsi="Open Sans" w:cs="Open Sans"/>
          <w:sz w:val="20"/>
          <w:szCs w:val="20"/>
          <w:shd w:val="clear" w:color="auto" w:fill="FFFFFF"/>
        </w:rPr>
      </w:pPr>
    </w:p>
    <w:p w14:paraId="20DF2992" w14:textId="77777777" w:rsidR="008139B6" w:rsidRPr="00C41816" w:rsidRDefault="008139B6" w:rsidP="00C41816">
      <w:pPr>
        <w:pStyle w:val="Estilo"/>
        <w:jc w:val="both"/>
        <w:rPr>
          <w:rFonts w:ascii="Open Sans" w:hAnsi="Open Sans" w:cs="Open Sans"/>
          <w:sz w:val="20"/>
          <w:szCs w:val="20"/>
          <w:shd w:val="clear" w:color="auto" w:fill="FFFFFF"/>
        </w:rPr>
      </w:pPr>
    </w:p>
    <w:p w14:paraId="1A4A5A8A" w14:textId="7C1DB77C" w:rsidR="008139B6" w:rsidRPr="00C41816" w:rsidRDefault="008139B6" w:rsidP="00C41816">
      <w:pPr>
        <w:pStyle w:val="PargrafodaLista"/>
        <w:widowControl w:val="0"/>
        <w:autoSpaceDE w:val="0"/>
        <w:autoSpaceDN w:val="0"/>
        <w:adjustRightInd w:val="0"/>
        <w:ind w:left="0"/>
        <w:jc w:val="both"/>
        <w:rPr>
          <w:rFonts w:ascii="Open Sans" w:eastAsia="Calibri" w:hAnsi="Open Sans" w:cs="Open Sans"/>
          <w:sz w:val="20"/>
          <w:szCs w:val="20"/>
        </w:rPr>
      </w:pPr>
      <w:r w:rsidRPr="00C41816">
        <w:rPr>
          <w:rFonts w:ascii="Open Sans" w:eastAsia="Calibri" w:hAnsi="Open Sans" w:cs="Open Sans"/>
          <w:b/>
          <w:bCs/>
          <w:sz w:val="20"/>
          <w:szCs w:val="20"/>
        </w:rPr>
        <w:t>(</w:t>
      </w:r>
      <w:proofErr w:type="spellStart"/>
      <w:r w:rsidRPr="00C41816">
        <w:rPr>
          <w:rFonts w:ascii="Open Sans" w:eastAsia="Calibri" w:hAnsi="Open Sans" w:cs="Open Sans"/>
          <w:b/>
          <w:bCs/>
          <w:sz w:val="20"/>
          <w:szCs w:val="20"/>
        </w:rPr>
        <w:t>ii</w:t>
      </w:r>
      <w:r w:rsidR="00607502" w:rsidRPr="00C41816">
        <w:rPr>
          <w:rFonts w:ascii="Open Sans" w:eastAsia="Calibri" w:hAnsi="Open Sans" w:cs="Open Sans"/>
          <w:b/>
          <w:bCs/>
          <w:sz w:val="20"/>
          <w:szCs w:val="20"/>
        </w:rPr>
        <w:t>i</w:t>
      </w:r>
      <w:proofErr w:type="spellEnd"/>
      <w:r w:rsidRPr="00C41816">
        <w:rPr>
          <w:rFonts w:ascii="Open Sans" w:eastAsia="Calibri" w:hAnsi="Open Sans" w:cs="Open Sans"/>
          <w:b/>
          <w:bCs/>
          <w:sz w:val="20"/>
          <w:szCs w:val="20"/>
        </w:rPr>
        <w:t>)</w:t>
      </w:r>
      <w:r w:rsidRPr="00C41816">
        <w:rPr>
          <w:rFonts w:ascii="Open Sans" w:eastAsia="Calibri" w:hAnsi="Open Sans" w:cs="Open Sans"/>
          <w:b/>
          <w:bCs/>
          <w:sz w:val="20"/>
          <w:szCs w:val="20"/>
        </w:rPr>
        <w:tab/>
      </w:r>
      <w:r w:rsidR="00FE3B99" w:rsidRPr="00C41816">
        <w:rPr>
          <w:rFonts w:ascii="Open Sans" w:hAnsi="Open Sans" w:cs="Open Sans"/>
          <w:color w:val="000000" w:themeColor="text1"/>
          <w:sz w:val="20"/>
          <w:szCs w:val="20"/>
        </w:rPr>
        <w:t xml:space="preserve">a aprovação ou não da concessão de </w:t>
      </w:r>
      <w:r w:rsidR="00FE3B99" w:rsidRPr="00C41816">
        <w:rPr>
          <w:rFonts w:ascii="Open Sans" w:hAnsi="Open Sans" w:cs="Open Sans"/>
          <w:i/>
          <w:iCs/>
          <w:color w:val="000000" w:themeColor="text1"/>
          <w:sz w:val="20"/>
          <w:szCs w:val="20"/>
        </w:rPr>
        <w:t>waiver</w:t>
      </w:r>
      <w:r w:rsidR="00FE3B99" w:rsidRPr="00C41816">
        <w:rPr>
          <w:rFonts w:ascii="Open Sans" w:hAnsi="Open Sans" w:cs="Open Sans"/>
          <w:color w:val="000000" w:themeColor="text1"/>
          <w:sz w:val="20"/>
          <w:szCs w:val="20"/>
        </w:rPr>
        <w:t xml:space="preserve"> à Cedente no sentido de abster-se de observar o atendimento dos Índices de Cobertura enquanto condição precedente subsequente para a integralização dos CRI da Segunda Tranche (“</w:t>
      </w:r>
      <w:r w:rsidR="00FE3B99" w:rsidRPr="00C41816">
        <w:rPr>
          <w:rFonts w:ascii="Open Sans" w:hAnsi="Open Sans" w:cs="Open Sans"/>
          <w:i/>
          <w:iCs/>
          <w:color w:val="000000" w:themeColor="text1"/>
          <w:sz w:val="20"/>
          <w:szCs w:val="20"/>
          <w:u w:val="single"/>
        </w:rPr>
        <w:t>Waiver</w:t>
      </w:r>
      <w:r w:rsidR="00FE3B99" w:rsidRPr="00C41816">
        <w:rPr>
          <w:rFonts w:ascii="Open Sans" w:hAnsi="Open Sans" w:cs="Open Sans"/>
          <w:color w:val="000000" w:themeColor="text1"/>
          <w:sz w:val="20"/>
          <w:szCs w:val="20"/>
          <w:u w:val="single"/>
        </w:rPr>
        <w:t xml:space="preserve"> Segunda Tranche</w:t>
      </w:r>
      <w:r w:rsidR="00FE3B99" w:rsidRPr="00C41816">
        <w:rPr>
          <w:rFonts w:ascii="Open Sans" w:hAnsi="Open Sans" w:cs="Open Sans"/>
          <w:color w:val="000000" w:themeColor="text1"/>
          <w:sz w:val="20"/>
          <w:szCs w:val="20"/>
        </w:rPr>
        <w:t>”);</w:t>
      </w:r>
    </w:p>
    <w:p w14:paraId="31802452" w14:textId="77777777" w:rsidR="008139B6" w:rsidRPr="00C41816" w:rsidRDefault="008139B6" w:rsidP="00C41816">
      <w:pPr>
        <w:pStyle w:val="Estilo"/>
        <w:jc w:val="both"/>
        <w:rPr>
          <w:rFonts w:ascii="Open Sans" w:hAnsi="Open Sans" w:cs="Open Sans"/>
          <w:b/>
          <w:sz w:val="20"/>
          <w:szCs w:val="20"/>
          <w:shd w:val="clear" w:color="auto" w:fill="FFFFFF"/>
        </w:rPr>
      </w:pPr>
    </w:p>
    <w:p w14:paraId="1BFE1C82" w14:textId="77777777" w:rsidR="008139B6" w:rsidRPr="00C41816" w:rsidRDefault="008139B6" w:rsidP="00C41816">
      <w:pPr>
        <w:pStyle w:val="Estilo"/>
        <w:jc w:val="both"/>
        <w:rPr>
          <w:rFonts w:ascii="Open Sans" w:hAnsi="Open Sans" w:cs="Open Sans"/>
          <w:b/>
          <w:sz w:val="20"/>
          <w:szCs w:val="20"/>
          <w:shd w:val="clear" w:color="auto" w:fill="FFFFFF"/>
        </w:rPr>
      </w:pPr>
      <w:r w:rsidRPr="00C41816">
        <w:rPr>
          <w:rFonts w:ascii="Open Sans" w:hAnsi="Open Sans" w:cs="Open Sans"/>
          <w:b/>
          <w:sz w:val="20"/>
          <w:szCs w:val="20"/>
          <w:shd w:val="clear" w:color="auto" w:fill="FFFFFF"/>
        </w:rPr>
        <w:t>[</w:t>
      </w:r>
      <w:r w:rsidRPr="00C41816">
        <w:rPr>
          <w:rFonts w:ascii="Open Sans" w:hAnsi="Open Sans" w:cs="Open Sans"/>
          <w:b/>
          <w:sz w:val="20"/>
          <w:szCs w:val="20"/>
          <w:shd w:val="clear" w:color="auto" w:fill="FFFFFF"/>
        </w:rPr>
        <w:tab/>
        <w:t>] APROVAR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REJEITAR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ABSTER-SE</w:t>
      </w:r>
    </w:p>
    <w:p w14:paraId="360D5ADD" w14:textId="77777777" w:rsidR="008139B6" w:rsidRPr="00C41816" w:rsidRDefault="008139B6" w:rsidP="00C41816">
      <w:pPr>
        <w:pStyle w:val="Estilo"/>
        <w:pBdr>
          <w:bottom w:val="single" w:sz="4" w:space="1" w:color="auto"/>
        </w:pBdr>
        <w:jc w:val="both"/>
        <w:rPr>
          <w:rFonts w:ascii="Open Sans" w:hAnsi="Open Sans" w:cs="Open Sans"/>
          <w:sz w:val="20"/>
          <w:szCs w:val="20"/>
          <w:shd w:val="clear" w:color="auto" w:fill="FFFFFF"/>
        </w:rPr>
      </w:pPr>
    </w:p>
    <w:p w14:paraId="3963B06B" w14:textId="77777777" w:rsidR="008139B6" w:rsidRPr="00C41816" w:rsidRDefault="008139B6" w:rsidP="00C41816">
      <w:pPr>
        <w:pStyle w:val="Estilo"/>
        <w:jc w:val="both"/>
        <w:rPr>
          <w:rFonts w:ascii="Open Sans" w:hAnsi="Open Sans" w:cs="Open Sans"/>
          <w:sz w:val="20"/>
          <w:szCs w:val="20"/>
          <w:shd w:val="clear" w:color="auto" w:fill="FFFFFF"/>
        </w:rPr>
      </w:pPr>
    </w:p>
    <w:p w14:paraId="35FA828C" w14:textId="666F0123" w:rsidR="008139B6" w:rsidRPr="00C41816" w:rsidRDefault="008139B6" w:rsidP="00C41816">
      <w:pPr>
        <w:rPr>
          <w:rFonts w:ascii="Open Sans" w:eastAsia="Times New Roman" w:hAnsi="Open Sans" w:cs="Open Sans"/>
          <w:sz w:val="20"/>
          <w:szCs w:val="20"/>
          <w:shd w:val="clear" w:color="auto" w:fill="FFFFFF"/>
          <w:lang w:eastAsia="pt-BR"/>
        </w:rPr>
      </w:pPr>
    </w:p>
    <w:p w14:paraId="4D741451" w14:textId="468AAE06" w:rsidR="00607502" w:rsidRPr="00C41816" w:rsidRDefault="00607502" w:rsidP="00C41816">
      <w:pPr>
        <w:pStyle w:val="PargrafodaLista"/>
        <w:widowControl w:val="0"/>
        <w:autoSpaceDE w:val="0"/>
        <w:autoSpaceDN w:val="0"/>
        <w:adjustRightInd w:val="0"/>
        <w:ind w:left="0"/>
        <w:jc w:val="both"/>
        <w:rPr>
          <w:rFonts w:ascii="Open Sans" w:eastAsia="Calibri" w:hAnsi="Open Sans" w:cs="Open Sans"/>
          <w:sz w:val="20"/>
          <w:szCs w:val="20"/>
        </w:rPr>
      </w:pPr>
      <w:r w:rsidRPr="00C41816">
        <w:rPr>
          <w:rFonts w:ascii="Open Sans" w:eastAsia="Calibri" w:hAnsi="Open Sans" w:cs="Open Sans"/>
          <w:b/>
          <w:bCs/>
          <w:sz w:val="20"/>
          <w:szCs w:val="20"/>
        </w:rPr>
        <w:t>(</w:t>
      </w:r>
      <w:proofErr w:type="spellStart"/>
      <w:r w:rsidRPr="00C41816">
        <w:rPr>
          <w:rFonts w:ascii="Open Sans" w:eastAsia="Calibri" w:hAnsi="Open Sans" w:cs="Open Sans"/>
          <w:b/>
          <w:bCs/>
          <w:sz w:val="20"/>
          <w:szCs w:val="20"/>
        </w:rPr>
        <w:t>i</w:t>
      </w:r>
      <w:r w:rsidR="00FE3B99" w:rsidRPr="00C41816">
        <w:rPr>
          <w:rFonts w:ascii="Open Sans" w:eastAsia="Calibri" w:hAnsi="Open Sans" w:cs="Open Sans"/>
          <w:b/>
          <w:bCs/>
          <w:sz w:val="20"/>
          <w:szCs w:val="20"/>
        </w:rPr>
        <w:t>v</w:t>
      </w:r>
      <w:proofErr w:type="spellEnd"/>
      <w:r w:rsidRPr="00C41816">
        <w:rPr>
          <w:rFonts w:ascii="Open Sans" w:eastAsia="Calibri" w:hAnsi="Open Sans" w:cs="Open Sans"/>
          <w:b/>
          <w:bCs/>
          <w:sz w:val="20"/>
          <w:szCs w:val="20"/>
        </w:rPr>
        <w:t>)</w:t>
      </w:r>
      <w:r w:rsidRPr="00C41816">
        <w:rPr>
          <w:rFonts w:ascii="Open Sans" w:eastAsia="Calibri" w:hAnsi="Open Sans" w:cs="Open Sans"/>
          <w:b/>
          <w:bCs/>
          <w:sz w:val="20"/>
          <w:szCs w:val="20"/>
        </w:rPr>
        <w:tab/>
      </w:r>
      <w:r w:rsidR="00FE3B99" w:rsidRPr="00C41816">
        <w:rPr>
          <w:rFonts w:ascii="Open Sans" w:hAnsi="Open Sans" w:cs="Open Sans"/>
          <w:color w:val="000000" w:themeColor="text1"/>
          <w:sz w:val="20"/>
          <w:szCs w:val="20"/>
        </w:rPr>
        <w:t>a aprovação ou não para que, enquanto não for verificado um Evento de Enquadramento Total, a Razão Mínima de Garantia do Fluxo Mensal seja considerada atendida nos períodos a seguir descritos caso sejam verificados os seguintes Índices de Fluxo Mensal: (</w:t>
      </w:r>
      <w:proofErr w:type="spellStart"/>
      <w:r w:rsidR="00FE3B99" w:rsidRPr="00C41816">
        <w:rPr>
          <w:rFonts w:ascii="Open Sans" w:hAnsi="Open Sans" w:cs="Open Sans"/>
          <w:color w:val="000000" w:themeColor="text1"/>
          <w:sz w:val="20"/>
          <w:szCs w:val="20"/>
        </w:rPr>
        <w:t>iv.a</w:t>
      </w:r>
      <w:proofErr w:type="spellEnd"/>
      <w:r w:rsidR="00FE3B99" w:rsidRPr="00C41816">
        <w:rPr>
          <w:rFonts w:ascii="Open Sans" w:hAnsi="Open Sans" w:cs="Open Sans"/>
          <w:color w:val="000000" w:themeColor="text1"/>
          <w:sz w:val="20"/>
          <w:szCs w:val="20"/>
        </w:rPr>
        <w:t>) 130% (cento e trinta por cento) nos meses de setembro/2020 a janeiro/2021; (</w:t>
      </w:r>
      <w:proofErr w:type="spellStart"/>
      <w:r w:rsidR="00FE3B99" w:rsidRPr="00C41816">
        <w:rPr>
          <w:rFonts w:ascii="Open Sans" w:hAnsi="Open Sans" w:cs="Open Sans"/>
          <w:color w:val="000000" w:themeColor="text1"/>
          <w:sz w:val="20"/>
          <w:szCs w:val="20"/>
        </w:rPr>
        <w:t>iv.b</w:t>
      </w:r>
      <w:proofErr w:type="spellEnd"/>
      <w:r w:rsidR="00FE3B99" w:rsidRPr="00C41816">
        <w:rPr>
          <w:rFonts w:ascii="Open Sans" w:hAnsi="Open Sans" w:cs="Open Sans"/>
          <w:color w:val="000000" w:themeColor="text1"/>
          <w:sz w:val="20"/>
          <w:szCs w:val="20"/>
        </w:rPr>
        <w:t>) 100% (cem por cento) nos meses de fevereiro/2021 a outubro/2021; (</w:t>
      </w:r>
      <w:proofErr w:type="spellStart"/>
      <w:r w:rsidR="00FE3B99" w:rsidRPr="00C41816">
        <w:rPr>
          <w:rFonts w:ascii="Open Sans" w:hAnsi="Open Sans" w:cs="Open Sans"/>
          <w:color w:val="000000" w:themeColor="text1"/>
          <w:sz w:val="20"/>
          <w:szCs w:val="20"/>
        </w:rPr>
        <w:t>iv.c</w:t>
      </w:r>
      <w:proofErr w:type="spellEnd"/>
      <w:r w:rsidR="00FE3B99" w:rsidRPr="00C41816">
        <w:rPr>
          <w:rFonts w:ascii="Open Sans" w:hAnsi="Open Sans" w:cs="Open Sans"/>
          <w:color w:val="000000" w:themeColor="text1"/>
          <w:sz w:val="20"/>
          <w:szCs w:val="20"/>
        </w:rPr>
        <w:t>) 110% (cento e dez por cento) nos meses de novembro/2021 a julho/2022; (</w:t>
      </w:r>
      <w:proofErr w:type="spellStart"/>
      <w:r w:rsidR="00FE3B99" w:rsidRPr="00C41816">
        <w:rPr>
          <w:rFonts w:ascii="Open Sans" w:hAnsi="Open Sans" w:cs="Open Sans"/>
          <w:color w:val="000000" w:themeColor="text1"/>
          <w:sz w:val="20"/>
          <w:szCs w:val="20"/>
        </w:rPr>
        <w:t>iv.d</w:t>
      </w:r>
      <w:proofErr w:type="spellEnd"/>
      <w:r w:rsidR="00FE3B99" w:rsidRPr="00C41816">
        <w:rPr>
          <w:rFonts w:ascii="Open Sans" w:hAnsi="Open Sans" w:cs="Open Sans"/>
          <w:color w:val="000000" w:themeColor="text1"/>
          <w:sz w:val="20"/>
          <w:szCs w:val="20"/>
        </w:rPr>
        <w:t>) 120% (cento e vinte por cento) nos meses de agosto/2022 a abril/2024; e (</w:t>
      </w:r>
      <w:proofErr w:type="spellStart"/>
      <w:r w:rsidR="00FE3B99" w:rsidRPr="00C41816">
        <w:rPr>
          <w:rFonts w:ascii="Open Sans" w:hAnsi="Open Sans" w:cs="Open Sans"/>
          <w:color w:val="000000" w:themeColor="text1"/>
          <w:sz w:val="20"/>
          <w:szCs w:val="20"/>
        </w:rPr>
        <w:t>iv.e</w:t>
      </w:r>
      <w:proofErr w:type="spellEnd"/>
      <w:r w:rsidR="00FE3B99" w:rsidRPr="00C41816">
        <w:rPr>
          <w:rFonts w:ascii="Open Sans" w:hAnsi="Open Sans" w:cs="Open Sans"/>
          <w:color w:val="000000" w:themeColor="text1"/>
          <w:sz w:val="20"/>
          <w:szCs w:val="20"/>
        </w:rPr>
        <w:t>) 130% (cento e trinta por cento) nos meses de maio/2024 a outubro/2025 (“</w:t>
      </w:r>
      <w:r w:rsidR="00FE3B99" w:rsidRPr="00C41816">
        <w:rPr>
          <w:rFonts w:ascii="Open Sans" w:hAnsi="Open Sans" w:cs="Open Sans"/>
          <w:color w:val="000000" w:themeColor="text1"/>
          <w:sz w:val="20"/>
          <w:szCs w:val="20"/>
          <w:u w:val="single"/>
        </w:rPr>
        <w:t>Alteração Temporária da RMGFM</w:t>
      </w:r>
      <w:r w:rsidR="00FE3B99" w:rsidRPr="00C41816">
        <w:rPr>
          <w:rFonts w:ascii="Open Sans" w:hAnsi="Open Sans" w:cs="Open Sans"/>
          <w:color w:val="000000" w:themeColor="text1"/>
          <w:sz w:val="20"/>
          <w:szCs w:val="20"/>
        </w:rPr>
        <w:t>”), vigendo tal Alteração Temporária da RMGFM, se aprovada, até que um Evento de Enquadramento Total venha a ser verificado, independentemente de sua data;</w:t>
      </w:r>
    </w:p>
    <w:p w14:paraId="793C52A5" w14:textId="77777777" w:rsidR="00607502" w:rsidRPr="00C41816" w:rsidRDefault="00607502" w:rsidP="00C41816">
      <w:pPr>
        <w:pStyle w:val="Estilo"/>
        <w:jc w:val="both"/>
        <w:rPr>
          <w:rFonts w:ascii="Open Sans" w:hAnsi="Open Sans" w:cs="Open Sans"/>
          <w:b/>
          <w:sz w:val="20"/>
          <w:szCs w:val="20"/>
          <w:shd w:val="clear" w:color="auto" w:fill="FFFFFF"/>
        </w:rPr>
      </w:pPr>
    </w:p>
    <w:p w14:paraId="1A3B8160" w14:textId="77777777" w:rsidR="00607502" w:rsidRPr="00C41816" w:rsidRDefault="00607502" w:rsidP="00C41816">
      <w:pPr>
        <w:pStyle w:val="Estilo"/>
        <w:jc w:val="both"/>
        <w:rPr>
          <w:rFonts w:ascii="Open Sans" w:hAnsi="Open Sans" w:cs="Open Sans"/>
          <w:b/>
          <w:sz w:val="20"/>
          <w:szCs w:val="20"/>
          <w:shd w:val="clear" w:color="auto" w:fill="FFFFFF"/>
        </w:rPr>
      </w:pPr>
      <w:r w:rsidRPr="00C41816">
        <w:rPr>
          <w:rFonts w:ascii="Open Sans" w:hAnsi="Open Sans" w:cs="Open Sans"/>
          <w:b/>
          <w:sz w:val="20"/>
          <w:szCs w:val="20"/>
          <w:shd w:val="clear" w:color="auto" w:fill="FFFFFF"/>
        </w:rPr>
        <w:t>[</w:t>
      </w:r>
      <w:r w:rsidRPr="00C41816">
        <w:rPr>
          <w:rFonts w:ascii="Open Sans" w:hAnsi="Open Sans" w:cs="Open Sans"/>
          <w:b/>
          <w:sz w:val="20"/>
          <w:szCs w:val="20"/>
          <w:shd w:val="clear" w:color="auto" w:fill="FFFFFF"/>
        </w:rPr>
        <w:tab/>
        <w:t>] APROVAR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REJEITAR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ABSTER-SE</w:t>
      </w:r>
    </w:p>
    <w:p w14:paraId="77DEF60C" w14:textId="77777777" w:rsidR="00607502" w:rsidRPr="00C41816" w:rsidRDefault="00607502" w:rsidP="00C41816">
      <w:pPr>
        <w:pStyle w:val="Estilo"/>
        <w:pBdr>
          <w:bottom w:val="single" w:sz="4" w:space="1" w:color="auto"/>
        </w:pBdr>
        <w:jc w:val="both"/>
        <w:rPr>
          <w:rFonts w:ascii="Open Sans" w:hAnsi="Open Sans" w:cs="Open Sans"/>
          <w:sz w:val="20"/>
          <w:szCs w:val="20"/>
          <w:shd w:val="clear" w:color="auto" w:fill="FFFFFF"/>
        </w:rPr>
      </w:pPr>
    </w:p>
    <w:p w14:paraId="3F9210B6" w14:textId="77777777" w:rsidR="00607502" w:rsidRPr="00C41816" w:rsidRDefault="00607502" w:rsidP="00C41816">
      <w:pPr>
        <w:pStyle w:val="Estilo"/>
        <w:jc w:val="both"/>
        <w:rPr>
          <w:rFonts w:ascii="Open Sans" w:hAnsi="Open Sans" w:cs="Open Sans"/>
          <w:sz w:val="20"/>
          <w:szCs w:val="20"/>
          <w:shd w:val="clear" w:color="auto" w:fill="FFFFFF"/>
        </w:rPr>
      </w:pPr>
    </w:p>
    <w:p w14:paraId="6197F4C0" w14:textId="77777777" w:rsidR="00607502" w:rsidRPr="00C41816" w:rsidRDefault="00607502" w:rsidP="00C41816">
      <w:pPr>
        <w:rPr>
          <w:rFonts w:ascii="Open Sans" w:eastAsia="Times New Roman" w:hAnsi="Open Sans" w:cs="Open Sans"/>
          <w:sz w:val="20"/>
          <w:szCs w:val="20"/>
          <w:shd w:val="clear" w:color="auto" w:fill="FFFFFF"/>
          <w:lang w:eastAsia="pt-BR"/>
        </w:rPr>
      </w:pPr>
    </w:p>
    <w:p w14:paraId="1D955367" w14:textId="301E27A7" w:rsidR="00607502" w:rsidRPr="00C41816" w:rsidRDefault="00607502" w:rsidP="00C41816">
      <w:pPr>
        <w:pStyle w:val="PargrafodaLista"/>
        <w:widowControl w:val="0"/>
        <w:autoSpaceDE w:val="0"/>
        <w:autoSpaceDN w:val="0"/>
        <w:adjustRightInd w:val="0"/>
        <w:ind w:left="0"/>
        <w:jc w:val="both"/>
        <w:rPr>
          <w:rFonts w:ascii="Open Sans" w:eastAsia="Calibri" w:hAnsi="Open Sans" w:cs="Open Sans"/>
          <w:sz w:val="20"/>
          <w:szCs w:val="20"/>
        </w:rPr>
      </w:pPr>
      <w:r w:rsidRPr="00C41816">
        <w:rPr>
          <w:rFonts w:ascii="Open Sans" w:eastAsia="Calibri" w:hAnsi="Open Sans" w:cs="Open Sans"/>
          <w:b/>
          <w:bCs/>
          <w:sz w:val="20"/>
          <w:szCs w:val="20"/>
        </w:rPr>
        <w:t>(</w:t>
      </w:r>
      <w:r w:rsidR="009E776C" w:rsidRPr="00C41816">
        <w:rPr>
          <w:rFonts w:ascii="Open Sans" w:eastAsia="Calibri" w:hAnsi="Open Sans" w:cs="Open Sans"/>
          <w:b/>
          <w:bCs/>
          <w:sz w:val="20"/>
          <w:szCs w:val="20"/>
        </w:rPr>
        <w:t>v</w:t>
      </w:r>
      <w:r w:rsidRPr="00C41816">
        <w:rPr>
          <w:rFonts w:ascii="Open Sans" w:eastAsia="Calibri" w:hAnsi="Open Sans" w:cs="Open Sans"/>
          <w:b/>
          <w:bCs/>
          <w:sz w:val="20"/>
          <w:szCs w:val="20"/>
        </w:rPr>
        <w:t>)</w:t>
      </w:r>
      <w:r w:rsidRPr="00C41816">
        <w:rPr>
          <w:rFonts w:ascii="Open Sans" w:eastAsia="Calibri" w:hAnsi="Open Sans" w:cs="Open Sans"/>
          <w:b/>
          <w:bCs/>
          <w:sz w:val="20"/>
          <w:szCs w:val="20"/>
        </w:rPr>
        <w:tab/>
      </w:r>
      <w:r w:rsidR="009E776C" w:rsidRPr="00C41816">
        <w:rPr>
          <w:rFonts w:ascii="Open Sans" w:hAnsi="Open Sans" w:cs="Open Sans"/>
          <w:color w:val="000000" w:themeColor="text1"/>
          <w:sz w:val="20"/>
          <w:szCs w:val="20"/>
        </w:rPr>
        <w:t xml:space="preserve">a concessão ou não de </w:t>
      </w:r>
      <w:r w:rsidR="009E776C" w:rsidRPr="00C41816">
        <w:rPr>
          <w:rFonts w:ascii="Open Sans" w:hAnsi="Open Sans" w:cs="Open Sans"/>
          <w:i/>
          <w:iCs/>
          <w:color w:val="000000" w:themeColor="text1"/>
          <w:sz w:val="20"/>
          <w:szCs w:val="20"/>
        </w:rPr>
        <w:t>waiver</w:t>
      </w:r>
      <w:r w:rsidR="009E776C" w:rsidRPr="00C41816">
        <w:rPr>
          <w:rFonts w:ascii="Open Sans" w:hAnsi="Open Sans" w:cs="Open Sans"/>
          <w:color w:val="000000" w:themeColor="text1"/>
          <w:sz w:val="20"/>
          <w:szCs w:val="20"/>
        </w:rPr>
        <w:t xml:space="preserve"> à Cedente no sentido de abster-se de observar o atingimento e, nesse sentido, de sustar todos efeitos decorrentes de eventual não atingimento da Razão Mínima de Garantia do Saldo Devedor nos meses de setembro/2020 a setembro/2021 (“</w:t>
      </w:r>
      <w:r w:rsidR="009E776C" w:rsidRPr="00C41816">
        <w:rPr>
          <w:rFonts w:ascii="Open Sans" w:hAnsi="Open Sans" w:cs="Open Sans"/>
          <w:i/>
          <w:iCs/>
          <w:color w:val="000000" w:themeColor="text1"/>
          <w:sz w:val="20"/>
          <w:szCs w:val="20"/>
          <w:u w:val="single"/>
        </w:rPr>
        <w:t>Waiver</w:t>
      </w:r>
      <w:r w:rsidR="009E776C" w:rsidRPr="00C41816">
        <w:rPr>
          <w:rFonts w:ascii="Open Sans" w:hAnsi="Open Sans" w:cs="Open Sans"/>
          <w:color w:val="000000" w:themeColor="text1"/>
          <w:sz w:val="20"/>
          <w:szCs w:val="20"/>
          <w:u w:val="single"/>
        </w:rPr>
        <w:t xml:space="preserve"> de RMGSD</w:t>
      </w:r>
      <w:r w:rsidR="009E776C" w:rsidRPr="00C41816">
        <w:rPr>
          <w:rFonts w:ascii="Open Sans" w:hAnsi="Open Sans" w:cs="Open Sans"/>
          <w:color w:val="000000" w:themeColor="text1"/>
          <w:sz w:val="20"/>
          <w:szCs w:val="20"/>
        </w:rPr>
        <w:t xml:space="preserve">”), vigendo o </w:t>
      </w:r>
      <w:r w:rsidR="009E776C" w:rsidRPr="00C41816">
        <w:rPr>
          <w:rFonts w:ascii="Open Sans" w:hAnsi="Open Sans" w:cs="Open Sans"/>
          <w:i/>
          <w:iCs/>
          <w:color w:val="000000" w:themeColor="text1"/>
          <w:sz w:val="20"/>
          <w:szCs w:val="20"/>
        </w:rPr>
        <w:t>Waiver</w:t>
      </w:r>
      <w:r w:rsidR="009E776C" w:rsidRPr="00C41816">
        <w:rPr>
          <w:rFonts w:ascii="Open Sans" w:hAnsi="Open Sans" w:cs="Open Sans"/>
          <w:color w:val="000000" w:themeColor="text1"/>
          <w:sz w:val="20"/>
          <w:szCs w:val="20"/>
        </w:rPr>
        <w:t xml:space="preserve"> de RMGSD, se aprovado, até que um Evento de Enquadramento Total venha a ser verificado, independentemente de sua data; </w:t>
      </w:r>
    </w:p>
    <w:p w14:paraId="04AD4E3E" w14:textId="77777777" w:rsidR="00607502" w:rsidRPr="00C41816" w:rsidRDefault="00607502" w:rsidP="00C41816">
      <w:pPr>
        <w:pStyle w:val="Estilo"/>
        <w:jc w:val="both"/>
        <w:rPr>
          <w:rFonts w:ascii="Open Sans" w:hAnsi="Open Sans" w:cs="Open Sans"/>
          <w:b/>
          <w:sz w:val="20"/>
          <w:szCs w:val="20"/>
          <w:shd w:val="clear" w:color="auto" w:fill="FFFFFF"/>
        </w:rPr>
      </w:pPr>
    </w:p>
    <w:p w14:paraId="079F605E" w14:textId="77777777" w:rsidR="00607502" w:rsidRPr="00C41816" w:rsidRDefault="00607502" w:rsidP="00C41816">
      <w:pPr>
        <w:pStyle w:val="Estilo"/>
        <w:jc w:val="both"/>
        <w:rPr>
          <w:rFonts w:ascii="Open Sans" w:hAnsi="Open Sans" w:cs="Open Sans"/>
          <w:b/>
          <w:sz w:val="20"/>
          <w:szCs w:val="20"/>
          <w:shd w:val="clear" w:color="auto" w:fill="FFFFFF"/>
        </w:rPr>
      </w:pPr>
      <w:r w:rsidRPr="00C41816">
        <w:rPr>
          <w:rFonts w:ascii="Open Sans" w:hAnsi="Open Sans" w:cs="Open Sans"/>
          <w:b/>
          <w:sz w:val="20"/>
          <w:szCs w:val="20"/>
          <w:shd w:val="clear" w:color="auto" w:fill="FFFFFF"/>
        </w:rPr>
        <w:t>[</w:t>
      </w:r>
      <w:r w:rsidRPr="00C41816">
        <w:rPr>
          <w:rFonts w:ascii="Open Sans" w:hAnsi="Open Sans" w:cs="Open Sans"/>
          <w:b/>
          <w:sz w:val="20"/>
          <w:szCs w:val="20"/>
          <w:shd w:val="clear" w:color="auto" w:fill="FFFFFF"/>
        </w:rPr>
        <w:tab/>
        <w:t>] APROVAR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REJEITAR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ABSTER-SE</w:t>
      </w:r>
    </w:p>
    <w:p w14:paraId="0840A056" w14:textId="77777777" w:rsidR="00607502" w:rsidRPr="00C41816" w:rsidRDefault="00607502" w:rsidP="00C41816">
      <w:pPr>
        <w:pStyle w:val="Estilo"/>
        <w:pBdr>
          <w:bottom w:val="single" w:sz="4" w:space="1" w:color="auto"/>
        </w:pBdr>
        <w:jc w:val="both"/>
        <w:rPr>
          <w:rFonts w:ascii="Open Sans" w:hAnsi="Open Sans" w:cs="Open Sans"/>
          <w:sz w:val="20"/>
          <w:szCs w:val="20"/>
          <w:shd w:val="clear" w:color="auto" w:fill="FFFFFF"/>
        </w:rPr>
      </w:pPr>
    </w:p>
    <w:p w14:paraId="3253C0D6" w14:textId="77777777" w:rsidR="00607502" w:rsidRPr="00C41816" w:rsidRDefault="00607502" w:rsidP="00C41816">
      <w:pPr>
        <w:pStyle w:val="Estilo"/>
        <w:jc w:val="both"/>
        <w:rPr>
          <w:rFonts w:ascii="Open Sans" w:hAnsi="Open Sans" w:cs="Open Sans"/>
          <w:sz w:val="20"/>
          <w:szCs w:val="20"/>
          <w:shd w:val="clear" w:color="auto" w:fill="FFFFFF"/>
        </w:rPr>
      </w:pPr>
    </w:p>
    <w:p w14:paraId="5219910E" w14:textId="77777777" w:rsidR="00607502" w:rsidRPr="00C41816" w:rsidRDefault="00607502" w:rsidP="00C41816">
      <w:pPr>
        <w:rPr>
          <w:rFonts w:ascii="Open Sans" w:eastAsia="Times New Roman" w:hAnsi="Open Sans" w:cs="Open Sans"/>
          <w:sz w:val="20"/>
          <w:szCs w:val="20"/>
          <w:shd w:val="clear" w:color="auto" w:fill="FFFFFF"/>
          <w:lang w:eastAsia="pt-BR"/>
        </w:rPr>
      </w:pPr>
    </w:p>
    <w:p w14:paraId="705C26DE" w14:textId="5E7830FC" w:rsidR="00607502" w:rsidRPr="00C41816" w:rsidRDefault="00607502" w:rsidP="00C41816">
      <w:pPr>
        <w:pStyle w:val="PargrafodaLista"/>
        <w:widowControl w:val="0"/>
        <w:autoSpaceDE w:val="0"/>
        <w:autoSpaceDN w:val="0"/>
        <w:adjustRightInd w:val="0"/>
        <w:ind w:left="0"/>
        <w:jc w:val="both"/>
        <w:rPr>
          <w:rFonts w:ascii="Open Sans" w:hAnsi="Open Sans" w:cs="Open Sans"/>
          <w:color w:val="000000" w:themeColor="text1"/>
          <w:sz w:val="20"/>
          <w:szCs w:val="20"/>
        </w:rPr>
      </w:pPr>
      <w:r w:rsidRPr="00C41816">
        <w:rPr>
          <w:rFonts w:ascii="Open Sans" w:eastAsia="Calibri" w:hAnsi="Open Sans" w:cs="Open Sans"/>
          <w:b/>
          <w:bCs/>
          <w:sz w:val="20"/>
          <w:szCs w:val="20"/>
        </w:rPr>
        <w:lastRenderedPageBreak/>
        <w:t>(</w:t>
      </w:r>
      <w:r w:rsidR="007F5A7D" w:rsidRPr="00C41816">
        <w:rPr>
          <w:rFonts w:ascii="Open Sans" w:eastAsia="Calibri" w:hAnsi="Open Sans" w:cs="Open Sans"/>
          <w:b/>
          <w:bCs/>
          <w:sz w:val="20"/>
          <w:szCs w:val="20"/>
        </w:rPr>
        <w:t>v</w:t>
      </w:r>
      <w:r w:rsidRPr="00C41816">
        <w:rPr>
          <w:rFonts w:ascii="Open Sans" w:eastAsia="Calibri" w:hAnsi="Open Sans" w:cs="Open Sans"/>
          <w:b/>
          <w:bCs/>
          <w:sz w:val="20"/>
          <w:szCs w:val="20"/>
        </w:rPr>
        <w:t>i</w:t>
      </w:r>
      <w:r w:rsidR="00C41816" w:rsidRPr="00C41816">
        <w:rPr>
          <w:rFonts w:ascii="Open Sans" w:eastAsia="Calibri" w:hAnsi="Open Sans" w:cs="Open Sans"/>
          <w:b/>
          <w:bCs/>
          <w:sz w:val="20"/>
          <w:szCs w:val="20"/>
        </w:rPr>
        <w:t>)</w:t>
      </w:r>
      <w:r w:rsidR="00C41816" w:rsidRPr="00C41816">
        <w:rPr>
          <w:rFonts w:ascii="Open Sans" w:eastAsia="Calibri" w:hAnsi="Open Sans" w:cs="Open Sans"/>
          <w:b/>
          <w:bCs/>
          <w:sz w:val="20"/>
          <w:szCs w:val="20"/>
        </w:rPr>
        <w:tab/>
      </w:r>
      <w:r w:rsidR="00C41816" w:rsidRPr="00C41816">
        <w:rPr>
          <w:rFonts w:ascii="Open Sans" w:hAnsi="Open Sans" w:cs="Open Sans"/>
          <w:color w:val="000000" w:themeColor="text1"/>
          <w:sz w:val="20"/>
          <w:szCs w:val="20"/>
        </w:rPr>
        <w:t>a aprovação ou não para que, enquanto não for verificado um Evento de Enquadramento Total, a Razão Mínima de Garantia do Saldo Devedor seja considerada atendida nos períodos a seguir descritos caso sejam verificados os seguintes Índices de Cobertura de Créditos: (</w:t>
      </w:r>
      <w:proofErr w:type="spellStart"/>
      <w:r w:rsidR="00C41816" w:rsidRPr="00C41816">
        <w:rPr>
          <w:rFonts w:ascii="Open Sans" w:hAnsi="Open Sans" w:cs="Open Sans"/>
          <w:color w:val="000000" w:themeColor="text1"/>
          <w:sz w:val="20"/>
          <w:szCs w:val="20"/>
        </w:rPr>
        <w:t>vi.a</w:t>
      </w:r>
      <w:proofErr w:type="spellEnd"/>
      <w:r w:rsidR="00C41816" w:rsidRPr="00C41816">
        <w:rPr>
          <w:rFonts w:ascii="Open Sans" w:hAnsi="Open Sans" w:cs="Open Sans"/>
          <w:color w:val="000000" w:themeColor="text1"/>
          <w:sz w:val="20"/>
          <w:szCs w:val="20"/>
        </w:rPr>
        <w:t>) 100% (cem por cento) nos meses de outubro/2021 a abril/2022; (</w:t>
      </w:r>
      <w:proofErr w:type="spellStart"/>
      <w:r w:rsidR="00C41816" w:rsidRPr="00C41816">
        <w:rPr>
          <w:rFonts w:ascii="Open Sans" w:hAnsi="Open Sans" w:cs="Open Sans"/>
          <w:color w:val="000000" w:themeColor="text1"/>
          <w:sz w:val="20"/>
          <w:szCs w:val="20"/>
        </w:rPr>
        <w:t>vi.b</w:t>
      </w:r>
      <w:proofErr w:type="spellEnd"/>
      <w:r w:rsidR="00C41816" w:rsidRPr="00C41816">
        <w:rPr>
          <w:rFonts w:ascii="Open Sans" w:hAnsi="Open Sans" w:cs="Open Sans"/>
          <w:color w:val="000000" w:themeColor="text1"/>
          <w:sz w:val="20"/>
          <w:szCs w:val="20"/>
        </w:rPr>
        <w:t>) 110% (cento e dez por cento) nos meses de maio/2022 a novembro/2022; (</w:t>
      </w:r>
      <w:proofErr w:type="spellStart"/>
      <w:r w:rsidR="00C41816" w:rsidRPr="00C41816">
        <w:rPr>
          <w:rFonts w:ascii="Open Sans" w:hAnsi="Open Sans" w:cs="Open Sans"/>
          <w:color w:val="000000" w:themeColor="text1"/>
          <w:sz w:val="20"/>
          <w:szCs w:val="20"/>
        </w:rPr>
        <w:t>vi.c</w:t>
      </w:r>
      <w:proofErr w:type="spellEnd"/>
      <w:r w:rsidR="00C41816" w:rsidRPr="00C41816">
        <w:rPr>
          <w:rFonts w:ascii="Open Sans" w:hAnsi="Open Sans" w:cs="Open Sans"/>
          <w:color w:val="000000" w:themeColor="text1"/>
          <w:sz w:val="20"/>
          <w:szCs w:val="20"/>
        </w:rPr>
        <w:t>) 120% (cento e vinte por cento) nos meses de dezembro/2022 a janeiro/2024; e (</w:t>
      </w:r>
      <w:proofErr w:type="spellStart"/>
      <w:r w:rsidR="00C41816" w:rsidRPr="00C41816">
        <w:rPr>
          <w:rFonts w:ascii="Open Sans" w:hAnsi="Open Sans" w:cs="Open Sans"/>
          <w:color w:val="000000" w:themeColor="text1"/>
          <w:sz w:val="20"/>
          <w:szCs w:val="20"/>
        </w:rPr>
        <w:t>vi.d</w:t>
      </w:r>
      <w:proofErr w:type="spellEnd"/>
      <w:r w:rsidR="00C41816" w:rsidRPr="00C41816">
        <w:rPr>
          <w:rFonts w:ascii="Open Sans" w:hAnsi="Open Sans" w:cs="Open Sans"/>
          <w:color w:val="000000" w:themeColor="text1"/>
          <w:sz w:val="20"/>
          <w:szCs w:val="20"/>
        </w:rPr>
        <w:t>) 130% (cento e trinta por cento) nos meses de fevereiro/2024 a outubro/2025 (“</w:t>
      </w:r>
      <w:r w:rsidR="00C41816" w:rsidRPr="00C41816">
        <w:rPr>
          <w:rFonts w:ascii="Open Sans" w:hAnsi="Open Sans" w:cs="Open Sans"/>
          <w:color w:val="000000" w:themeColor="text1"/>
          <w:sz w:val="20"/>
          <w:szCs w:val="20"/>
          <w:u w:val="single"/>
        </w:rPr>
        <w:t>Alteração Temporária da RMGSD</w:t>
      </w:r>
      <w:r w:rsidR="00C41816" w:rsidRPr="00C41816">
        <w:rPr>
          <w:rFonts w:ascii="Open Sans" w:hAnsi="Open Sans" w:cs="Open Sans"/>
          <w:color w:val="000000" w:themeColor="text1"/>
          <w:sz w:val="20"/>
          <w:szCs w:val="20"/>
        </w:rPr>
        <w:t>”), vigendo tal Alteração Temporária da RMGSD, se aprovada, até que um Evento de Enquadramento Total venha a ser verificado, independentemente de sua data;</w:t>
      </w:r>
    </w:p>
    <w:p w14:paraId="3D845042" w14:textId="77777777" w:rsidR="00C41816" w:rsidRPr="00C41816" w:rsidRDefault="00C41816" w:rsidP="00C41816">
      <w:pPr>
        <w:pStyle w:val="Estilo"/>
        <w:jc w:val="both"/>
        <w:rPr>
          <w:rFonts w:ascii="Open Sans" w:hAnsi="Open Sans" w:cs="Open Sans"/>
          <w:b/>
          <w:sz w:val="20"/>
          <w:szCs w:val="20"/>
          <w:shd w:val="clear" w:color="auto" w:fill="FFFFFF"/>
        </w:rPr>
      </w:pPr>
    </w:p>
    <w:p w14:paraId="1807CC05" w14:textId="77777777" w:rsidR="00C41816" w:rsidRPr="00C41816" w:rsidRDefault="00C41816" w:rsidP="00C41816">
      <w:pPr>
        <w:pStyle w:val="Estilo"/>
        <w:jc w:val="both"/>
        <w:rPr>
          <w:rFonts w:ascii="Open Sans" w:hAnsi="Open Sans" w:cs="Open Sans"/>
          <w:b/>
          <w:sz w:val="20"/>
          <w:szCs w:val="20"/>
          <w:shd w:val="clear" w:color="auto" w:fill="FFFFFF"/>
        </w:rPr>
      </w:pPr>
      <w:r w:rsidRPr="00C41816">
        <w:rPr>
          <w:rFonts w:ascii="Open Sans" w:hAnsi="Open Sans" w:cs="Open Sans"/>
          <w:b/>
          <w:sz w:val="20"/>
          <w:szCs w:val="20"/>
          <w:shd w:val="clear" w:color="auto" w:fill="FFFFFF"/>
        </w:rPr>
        <w:t>[</w:t>
      </w:r>
      <w:r w:rsidRPr="00C41816">
        <w:rPr>
          <w:rFonts w:ascii="Open Sans" w:hAnsi="Open Sans" w:cs="Open Sans"/>
          <w:b/>
          <w:sz w:val="20"/>
          <w:szCs w:val="20"/>
          <w:shd w:val="clear" w:color="auto" w:fill="FFFFFF"/>
        </w:rPr>
        <w:tab/>
        <w:t>] APROVAR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REJEITAR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ABSTER-SE</w:t>
      </w:r>
    </w:p>
    <w:p w14:paraId="7E2A9FB3" w14:textId="77777777" w:rsidR="00C41816" w:rsidRPr="00C41816" w:rsidRDefault="00C41816" w:rsidP="00C41816">
      <w:pPr>
        <w:pStyle w:val="Estilo"/>
        <w:pBdr>
          <w:bottom w:val="single" w:sz="4" w:space="1" w:color="auto"/>
        </w:pBdr>
        <w:jc w:val="both"/>
        <w:rPr>
          <w:rFonts w:ascii="Open Sans" w:hAnsi="Open Sans" w:cs="Open Sans"/>
          <w:sz w:val="20"/>
          <w:szCs w:val="20"/>
          <w:shd w:val="clear" w:color="auto" w:fill="FFFFFF"/>
        </w:rPr>
      </w:pPr>
    </w:p>
    <w:p w14:paraId="443D8598" w14:textId="77777777" w:rsidR="00C41816" w:rsidRPr="00C41816" w:rsidRDefault="00C41816" w:rsidP="00C41816">
      <w:pPr>
        <w:pStyle w:val="Estilo"/>
        <w:jc w:val="both"/>
        <w:rPr>
          <w:rFonts w:ascii="Open Sans" w:hAnsi="Open Sans" w:cs="Open Sans"/>
          <w:sz w:val="20"/>
          <w:szCs w:val="20"/>
          <w:shd w:val="clear" w:color="auto" w:fill="FFFFFF"/>
        </w:rPr>
      </w:pPr>
    </w:p>
    <w:p w14:paraId="43FC1A20" w14:textId="39830AA7" w:rsidR="00C41816" w:rsidRPr="00C41816" w:rsidRDefault="00C41816" w:rsidP="00C41816">
      <w:pPr>
        <w:pStyle w:val="PargrafodaLista"/>
        <w:widowControl w:val="0"/>
        <w:autoSpaceDE w:val="0"/>
        <w:autoSpaceDN w:val="0"/>
        <w:adjustRightInd w:val="0"/>
        <w:ind w:left="0"/>
        <w:jc w:val="both"/>
        <w:rPr>
          <w:rFonts w:ascii="Open Sans" w:hAnsi="Open Sans" w:cs="Open Sans"/>
          <w:color w:val="000000" w:themeColor="text1"/>
          <w:sz w:val="20"/>
          <w:szCs w:val="20"/>
        </w:rPr>
      </w:pPr>
    </w:p>
    <w:p w14:paraId="733C7804" w14:textId="301A2277" w:rsidR="00C41816" w:rsidRPr="00C41816" w:rsidRDefault="00C41816" w:rsidP="00C41816">
      <w:pPr>
        <w:pStyle w:val="PargrafodaLista"/>
        <w:widowControl w:val="0"/>
        <w:autoSpaceDE w:val="0"/>
        <w:autoSpaceDN w:val="0"/>
        <w:adjustRightInd w:val="0"/>
        <w:ind w:left="0"/>
        <w:jc w:val="both"/>
        <w:rPr>
          <w:rFonts w:ascii="Open Sans" w:hAnsi="Open Sans" w:cs="Open Sans"/>
          <w:color w:val="000000" w:themeColor="text1"/>
          <w:sz w:val="20"/>
          <w:szCs w:val="20"/>
        </w:rPr>
      </w:pPr>
      <w:r w:rsidRPr="00C41816">
        <w:rPr>
          <w:rFonts w:ascii="Open Sans" w:hAnsi="Open Sans" w:cs="Open Sans"/>
          <w:b/>
          <w:bCs/>
          <w:color w:val="000000" w:themeColor="text1"/>
          <w:sz w:val="20"/>
          <w:szCs w:val="20"/>
        </w:rPr>
        <w:t>(</w:t>
      </w:r>
      <w:proofErr w:type="spellStart"/>
      <w:r w:rsidRPr="00C41816">
        <w:rPr>
          <w:rFonts w:ascii="Open Sans" w:hAnsi="Open Sans" w:cs="Open Sans"/>
          <w:b/>
          <w:bCs/>
          <w:color w:val="000000" w:themeColor="text1"/>
          <w:sz w:val="20"/>
          <w:szCs w:val="20"/>
        </w:rPr>
        <w:t>vii</w:t>
      </w:r>
      <w:proofErr w:type="spellEnd"/>
      <w:r w:rsidRPr="00C41816">
        <w:rPr>
          <w:rFonts w:ascii="Open Sans" w:hAnsi="Open Sans" w:cs="Open Sans"/>
          <w:b/>
          <w:bCs/>
          <w:color w:val="000000" w:themeColor="text1"/>
          <w:sz w:val="20"/>
          <w:szCs w:val="20"/>
        </w:rPr>
        <w:t>)</w:t>
      </w:r>
      <w:r w:rsidRPr="00C41816">
        <w:rPr>
          <w:rFonts w:ascii="Open Sans" w:hAnsi="Open Sans" w:cs="Open Sans"/>
          <w:b/>
          <w:bCs/>
          <w:color w:val="000000" w:themeColor="text1"/>
          <w:sz w:val="20"/>
          <w:szCs w:val="20"/>
        </w:rPr>
        <w:tab/>
      </w:r>
      <w:r w:rsidR="00650D59" w:rsidRPr="008A4A76">
        <w:rPr>
          <w:rFonts w:ascii="Open Sans" w:hAnsi="Open Sans" w:cs="Open Sans"/>
          <w:color w:val="000000" w:themeColor="text1"/>
          <w:sz w:val="20"/>
          <w:szCs w:val="20"/>
        </w:rPr>
        <w:t xml:space="preserve">a concessão ou não de </w:t>
      </w:r>
      <w:r w:rsidR="00650D59" w:rsidRPr="008A4A76">
        <w:rPr>
          <w:rFonts w:ascii="Open Sans" w:hAnsi="Open Sans" w:cs="Open Sans"/>
          <w:i/>
          <w:iCs/>
          <w:color w:val="000000" w:themeColor="text1"/>
          <w:sz w:val="20"/>
          <w:szCs w:val="20"/>
        </w:rPr>
        <w:t>waiver</w:t>
      </w:r>
      <w:r w:rsidR="00650D59" w:rsidRPr="008A4A76">
        <w:rPr>
          <w:rFonts w:ascii="Open Sans" w:hAnsi="Open Sans" w:cs="Open Sans"/>
          <w:color w:val="000000" w:themeColor="text1"/>
          <w:sz w:val="20"/>
          <w:szCs w:val="20"/>
        </w:rPr>
        <w:t xml:space="preserve"> à Cedente no sentido de sustar todos efeitos, inclusive afastando qualquer hipótese de Recompra Compulsória dos Créditos Imobiliários neste sentido, decorrentes do não atendimento da Razão Mínima de Garantia do Fluxo Mensal e da Razão Mínima de Garantia do Saldo Devedor nos meses anteriores à realização desta Assembleia Geral (“</w:t>
      </w:r>
      <w:r w:rsidR="00650D59" w:rsidRPr="008A4A76">
        <w:rPr>
          <w:rFonts w:ascii="Open Sans" w:hAnsi="Open Sans" w:cs="Open Sans"/>
          <w:i/>
          <w:iCs/>
          <w:color w:val="000000" w:themeColor="text1"/>
          <w:sz w:val="20"/>
          <w:szCs w:val="20"/>
          <w:u w:val="single"/>
        </w:rPr>
        <w:t>Waiver</w:t>
      </w:r>
      <w:r w:rsidR="00650D59" w:rsidRPr="008A4A76">
        <w:rPr>
          <w:rFonts w:ascii="Open Sans" w:hAnsi="Open Sans" w:cs="Open Sans"/>
          <w:color w:val="000000" w:themeColor="text1"/>
          <w:sz w:val="20"/>
          <w:szCs w:val="20"/>
          <w:u w:val="single"/>
        </w:rPr>
        <w:t xml:space="preserve"> de Razões de Garantia</w:t>
      </w:r>
      <w:r w:rsidR="00650D59" w:rsidRPr="008A4A76">
        <w:rPr>
          <w:rFonts w:ascii="Open Sans" w:hAnsi="Open Sans" w:cs="Open Sans"/>
          <w:color w:val="000000" w:themeColor="text1"/>
          <w:sz w:val="20"/>
          <w:szCs w:val="20"/>
        </w:rPr>
        <w:t>”)</w:t>
      </w:r>
      <w:r w:rsidRPr="00C41816">
        <w:rPr>
          <w:rFonts w:ascii="Open Sans" w:hAnsi="Open Sans" w:cs="Open Sans"/>
          <w:color w:val="000000" w:themeColor="text1"/>
          <w:sz w:val="20"/>
          <w:szCs w:val="20"/>
        </w:rPr>
        <w:t>;</w:t>
      </w:r>
    </w:p>
    <w:p w14:paraId="1EC13020" w14:textId="77777777" w:rsidR="00C41816" w:rsidRPr="00C41816" w:rsidRDefault="00C41816" w:rsidP="00C41816">
      <w:pPr>
        <w:pStyle w:val="Estilo"/>
        <w:jc w:val="both"/>
        <w:rPr>
          <w:rFonts w:ascii="Open Sans" w:hAnsi="Open Sans" w:cs="Open Sans"/>
          <w:b/>
          <w:sz w:val="20"/>
          <w:szCs w:val="20"/>
          <w:shd w:val="clear" w:color="auto" w:fill="FFFFFF"/>
        </w:rPr>
      </w:pPr>
    </w:p>
    <w:p w14:paraId="7460098C" w14:textId="77777777" w:rsidR="00C41816" w:rsidRPr="00C41816" w:rsidRDefault="00C41816" w:rsidP="00C41816">
      <w:pPr>
        <w:pStyle w:val="Estilo"/>
        <w:jc w:val="both"/>
        <w:rPr>
          <w:rFonts w:ascii="Open Sans" w:hAnsi="Open Sans" w:cs="Open Sans"/>
          <w:b/>
          <w:sz w:val="20"/>
          <w:szCs w:val="20"/>
          <w:shd w:val="clear" w:color="auto" w:fill="FFFFFF"/>
        </w:rPr>
      </w:pPr>
      <w:r w:rsidRPr="00C41816">
        <w:rPr>
          <w:rFonts w:ascii="Open Sans" w:hAnsi="Open Sans" w:cs="Open Sans"/>
          <w:b/>
          <w:sz w:val="20"/>
          <w:szCs w:val="20"/>
          <w:shd w:val="clear" w:color="auto" w:fill="FFFFFF"/>
        </w:rPr>
        <w:t>[</w:t>
      </w:r>
      <w:r w:rsidRPr="00C41816">
        <w:rPr>
          <w:rFonts w:ascii="Open Sans" w:hAnsi="Open Sans" w:cs="Open Sans"/>
          <w:b/>
          <w:sz w:val="20"/>
          <w:szCs w:val="20"/>
          <w:shd w:val="clear" w:color="auto" w:fill="FFFFFF"/>
        </w:rPr>
        <w:tab/>
        <w:t>] APROVAR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REJEITAR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ABSTER-SE</w:t>
      </w:r>
    </w:p>
    <w:p w14:paraId="235B3C78" w14:textId="77777777" w:rsidR="00C41816" w:rsidRPr="00C41816" w:rsidRDefault="00C41816" w:rsidP="00C41816">
      <w:pPr>
        <w:pStyle w:val="Estilo"/>
        <w:pBdr>
          <w:bottom w:val="single" w:sz="4" w:space="1" w:color="auto"/>
        </w:pBdr>
        <w:jc w:val="both"/>
        <w:rPr>
          <w:rFonts w:ascii="Open Sans" w:hAnsi="Open Sans" w:cs="Open Sans"/>
          <w:sz w:val="20"/>
          <w:szCs w:val="20"/>
          <w:shd w:val="clear" w:color="auto" w:fill="FFFFFF"/>
        </w:rPr>
      </w:pPr>
    </w:p>
    <w:p w14:paraId="7E2B7DC3" w14:textId="51B62BED" w:rsidR="00C41816" w:rsidRPr="00C41816" w:rsidRDefault="00C41816" w:rsidP="00C41816">
      <w:pPr>
        <w:pStyle w:val="Estilo"/>
        <w:jc w:val="both"/>
        <w:rPr>
          <w:rFonts w:ascii="Open Sans" w:hAnsi="Open Sans" w:cs="Open Sans"/>
          <w:sz w:val="20"/>
          <w:szCs w:val="20"/>
          <w:shd w:val="clear" w:color="auto" w:fill="FFFFFF"/>
        </w:rPr>
      </w:pPr>
    </w:p>
    <w:p w14:paraId="54BFF72B" w14:textId="77777777" w:rsidR="00C41816" w:rsidRPr="00C41816" w:rsidRDefault="00C41816" w:rsidP="00C41816">
      <w:pPr>
        <w:pStyle w:val="Estilo"/>
        <w:jc w:val="both"/>
        <w:rPr>
          <w:rFonts w:ascii="Open Sans" w:hAnsi="Open Sans" w:cs="Open Sans"/>
          <w:sz w:val="20"/>
          <w:szCs w:val="20"/>
          <w:shd w:val="clear" w:color="auto" w:fill="FFFFFF"/>
        </w:rPr>
      </w:pPr>
    </w:p>
    <w:p w14:paraId="6584AE8E" w14:textId="287CAAEE" w:rsidR="00C41816" w:rsidRPr="00C41816" w:rsidRDefault="00C41816" w:rsidP="00C41816">
      <w:pPr>
        <w:pStyle w:val="PargrafodaLista"/>
        <w:widowControl w:val="0"/>
        <w:autoSpaceDE w:val="0"/>
        <w:autoSpaceDN w:val="0"/>
        <w:adjustRightInd w:val="0"/>
        <w:ind w:left="0"/>
        <w:jc w:val="both"/>
        <w:rPr>
          <w:rFonts w:ascii="Open Sans" w:hAnsi="Open Sans" w:cs="Open Sans"/>
          <w:color w:val="000000" w:themeColor="text1"/>
          <w:sz w:val="20"/>
          <w:szCs w:val="20"/>
        </w:rPr>
      </w:pPr>
      <w:r w:rsidRPr="00C41816">
        <w:rPr>
          <w:rFonts w:ascii="Open Sans" w:hAnsi="Open Sans" w:cs="Open Sans"/>
          <w:b/>
          <w:bCs/>
          <w:color w:val="000000" w:themeColor="text1"/>
          <w:sz w:val="20"/>
          <w:szCs w:val="20"/>
        </w:rPr>
        <w:t>(</w:t>
      </w:r>
      <w:proofErr w:type="spellStart"/>
      <w:r w:rsidRPr="00C41816">
        <w:rPr>
          <w:rFonts w:ascii="Open Sans" w:hAnsi="Open Sans" w:cs="Open Sans"/>
          <w:b/>
          <w:bCs/>
          <w:color w:val="000000" w:themeColor="text1"/>
          <w:sz w:val="20"/>
          <w:szCs w:val="20"/>
        </w:rPr>
        <w:t>viii</w:t>
      </w:r>
      <w:proofErr w:type="spellEnd"/>
      <w:r w:rsidRPr="00C41816">
        <w:rPr>
          <w:rFonts w:ascii="Open Sans" w:hAnsi="Open Sans" w:cs="Open Sans"/>
          <w:b/>
          <w:bCs/>
          <w:color w:val="000000" w:themeColor="text1"/>
          <w:sz w:val="20"/>
          <w:szCs w:val="20"/>
        </w:rPr>
        <w:t>)</w:t>
      </w:r>
      <w:r w:rsidRPr="00C41816">
        <w:rPr>
          <w:rFonts w:ascii="Open Sans" w:hAnsi="Open Sans" w:cs="Open Sans"/>
          <w:color w:val="000000" w:themeColor="text1"/>
          <w:sz w:val="20"/>
          <w:szCs w:val="20"/>
        </w:rPr>
        <w:tab/>
        <w:t>a aprovação ou não para que a ocorrência de quaisquer dos seguintes eventos seja considerada uma Hipótese de Recompra Compulsória dos Créditos Imobiliários: caso venha a ser realizado, independentemente do valor, quaisquer mútuos ativos pela Cedente com quaisquer terceiros, amortização de quaisquer mútuos passivos pela Cedente com quaisquer de suas partes relacionadas, redução do capital social da Cedente, distribuição e/ou pagamento, pela Cedente, de dividendos, juros sobre o capital próprio ou quaisquer outras distribuições de lucros aos acionistas da Cedente, enquanto não for verificado um Evento de Enquadramento Total (“</w:t>
      </w:r>
      <w:r w:rsidRPr="00C41816">
        <w:rPr>
          <w:rFonts w:ascii="Open Sans" w:hAnsi="Open Sans" w:cs="Open Sans"/>
          <w:color w:val="000000" w:themeColor="text1"/>
          <w:sz w:val="20"/>
          <w:szCs w:val="20"/>
          <w:u w:val="single"/>
        </w:rPr>
        <w:t>Inclusão de Nova Hipótese de Recompra Compulsória dos Créditos Imobiliários</w:t>
      </w:r>
      <w:r w:rsidRPr="00C41816">
        <w:rPr>
          <w:rFonts w:ascii="Open Sans" w:hAnsi="Open Sans" w:cs="Open Sans"/>
          <w:color w:val="000000" w:themeColor="text1"/>
          <w:sz w:val="20"/>
          <w:szCs w:val="20"/>
        </w:rPr>
        <w:t>”);</w:t>
      </w:r>
    </w:p>
    <w:p w14:paraId="6106FA03" w14:textId="77777777" w:rsidR="00C41816" w:rsidRPr="00C41816" w:rsidRDefault="00C41816" w:rsidP="00C41816">
      <w:pPr>
        <w:pStyle w:val="Estilo"/>
        <w:jc w:val="both"/>
        <w:rPr>
          <w:rFonts w:ascii="Open Sans" w:hAnsi="Open Sans" w:cs="Open Sans"/>
          <w:b/>
          <w:sz w:val="20"/>
          <w:szCs w:val="20"/>
          <w:shd w:val="clear" w:color="auto" w:fill="FFFFFF"/>
        </w:rPr>
      </w:pPr>
    </w:p>
    <w:p w14:paraId="63B238ED" w14:textId="77777777" w:rsidR="00C41816" w:rsidRPr="00C41816" w:rsidRDefault="00C41816" w:rsidP="00C41816">
      <w:pPr>
        <w:pStyle w:val="Estilo"/>
        <w:jc w:val="both"/>
        <w:rPr>
          <w:rFonts w:ascii="Open Sans" w:hAnsi="Open Sans" w:cs="Open Sans"/>
          <w:b/>
          <w:sz w:val="20"/>
          <w:szCs w:val="20"/>
          <w:shd w:val="clear" w:color="auto" w:fill="FFFFFF"/>
        </w:rPr>
      </w:pPr>
      <w:r w:rsidRPr="00C41816">
        <w:rPr>
          <w:rFonts w:ascii="Open Sans" w:hAnsi="Open Sans" w:cs="Open Sans"/>
          <w:b/>
          <w:sz w:val="20"/>
          <w:szCs w:val="20"/>
          <w:shd w:val="clear" w:color="auto" w:fill="FFFFFF"/>
        </w:rPr>
        <w:t>[</w:t>
      </w:r>
      <w:r w:rsidRPr="00C41816">
        <w:rPr>
          <w:rFonts w:ascii="Open Sans" w:hAnsi="Open Sans" w:cs="Open Sans"/>
          <w:b/>
          <w:sz w:val="20"/>
          <w:szCs w:val="20"/>
          <w:shd w:val="clear" w:color="auto" w:fill="FFFFFF"/>
        </w:rPr>
        <w:tab/>
        <w:t>] APROVAR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REJEITAR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ABSTER-SE</w:t>
      </w:r>
    </w:p>
    <w:p w14:paraId="473ED542" w14:textId="77777777" w:rsidR="00C41816" w:rsidRPr="00C41816" w:rsidRDefault="00C41816" w:rsidP="00C41816">
      <w:pPr>
        <w:pStyle w:val="Estilo"/>
        <w:pBdr>
          <w:bottom w:val="single" w:sz="4" w:space="1" w:color="auto"/>
        </w:pBdr>
        <w:jc w:val="both"/>
        <w:rPr>
          <w:rFonts w:ascii="Open Sans" w:hAnsi="Open Sans" w:cs="Open Sans"/>
          <w:sz w:val="20"/>
          <w:szCs w:val="20"/>
          <w:shd w:val="clear" w:color="auto" w:fill="FFFFFF"/>
        </w:rPr>
      </w:pPr>
    </w:p>
    <w:p w14:paraId="508813CD" w14:textId="77777777" w:rsidR="00C41816" w:rsidRPr="00C41816" w:rsidRDefault="00C41816" w:rsidP="00C41816">
      <w:pPr>
        <w:pStyle w:val="Estilo"/>
        <w:jc w:val="both"/>
        <w:rPr>
          <w:rFonts w:ascii="Open Sans" w:hAnsi="Open Sans" w:cs="Open Sans"/>
          <w:sz w:val="20"/>
          <w:szCs w:val="20"/>
          <w:shd w:val="clear" w:color="auto" w:fill="FFFFFF"/>
        </w:rPr>
      </w:pPr>
    </w:p>
    <w:p w14:paraId="0F6C7C9D" w14:textId="77777777" w:rsidR="00C41816" w:rsidRPr="00C41816" w:rsidRDefault="00C41816" w:rsidP="00C41816">
      <w:pPr>
        <w:pStyle w:val="Estilo"/>
        <w:jc w:val="both"/>
        <w:rPr>
          <w:rFonts w:ascii="Open Sans" w:hAnsi="Open Sans" w:cs="Open Sans"/>
          <w:sz w:val="20"/>
          <w:szCs w:val="20"/>
          <w:shd w:val="clear" w:color="auto" w:fill="FFFFFF"/>
        </w:rPr>
      </w:pPr>
    </w:p>
    <w:p w14:paraId="63EBEF5A" w14:textId="15F6152B" w:rsidR="00C41816" w:rsidRPr="00C41816" w:rsidRDefault="00C41816" w:rsidP="00C41816">
      <w:pPr>
        <w:pStyle w:val="PargrafodaLista"/>
        <w:widowControl w:val="0"/>
        <w:autoSpaceDE w:val="0"/>
        <w:autoSpaceDN w:val="0"/>
        <w:adjustRightInd w:val="0"/>
        <w:ind w:left="0"/>
        <w:jc w:val="both"/>
        <w:rPr>
          <w:rFonts w:ascii="Open Sans" w:hAnsi="Open Sans" w:cs="Open Sans"/>
          <w:color w:val="000000" w:themeColor="text1"/>
          <w:sz w:val="20"/>
          <w:szCs w:val="20"/>
        </w:rPr>
      </w:pPr>
      <w:r w:rsidRPr="00C41816">
        <w:rPr>
          <w:rFonts w:ascii="Open Sans" w:hAnsi="Open Sans" w:cs="Open Sans"/>
          <w:b/>
          <w:bCs/>
          <w:color w:val="000000" w:themeColor="text1"/>
          <w:sz w:val="20"/>
          <w:szCs w:val="20"/>
        </w:rPr>
        <w:t>(</w:t>
      </w:r>
      <w:proofErr w:type="spellStart"/>
      <w:r w:rsidRPr="00C41816">
        <w:rPr>
          <w:rFonts w:ascii="Open Sans" w:hAnsi="Open Sans" w:cs="Open Sans"/>
          <w:b/>
          <w:bCs/>
          <w:color w:val="000000" w:themeColor="text1"/>
          <w:sz w:val="20"/>
          <w:szCs w:val="20"/>
        </w:rPr>
        <w:t>ix</w:t>
      </w:r>
      <w:proofErr w:type="spellEnd"/>
      <w:r w:rsidRPr="00C41816">
        <w:rPr>
          <w:rFonts w:ascii="Open Sans" w:hAnsi="Open Sans" w:cs="Open Sans"/>
          <w:b/>
          <w:bCs/>
          <w:color w:val="000000" w:themeColor="text1"/>
          <w:sz w:val="20"/>
          <w:szCs w:val="20"/>
        </w:rPr>
        <w:t>)</w:t>
      </w:r>
      <w:r w:rsidRPr="00C41816">
        <w:rPr>
          <w:rFonts w:ascii="Open Sans" w:hAnsi="Open Sans" w:cs="Open Sans"/>
          <w:color w:val="000000" w:themeColor="text1"/>
          <w:sz w:val="20"/>
          <w:szCs w:val="20"/>
        </w:rPr>
        <w:tab/>
        <w:t>a ratificação ou não dos atos relacionados aos itens que compõe a Ordem do Dia eventualmente praticados pelas partes antes da realização da AGTCRI;</w:t>
      </w:r>
    </w:p>
    <w:p w14:paraId="62933E6B" w14:textId="77777777" w:rsidR="00C41816" w:rsidRPr="00C41816" w:rsidRDefault="00C41816" w:rsidP="00C41816">
      <w:pPr>
        <w:pStyle w:val="Estilo"/>
        <w:jc w:val="both"/>
        <w:rPr>
          <w:rFonts w:ascii="Open Sans" w:hAnsi="Open Sans" w:cs="Open Sans"/>
          <w:b/>
          <w:sz w:val="20"/>
          <w:szCs w:val="20"/>
          <w:shd w:val="clear" w:color="auto" w:fill="FFFFFF"/>
        </w:rPr>
      </w:pPr>
    </w:p>
    <w:p w14:paraId="45CE7D51" w14:textId="77777777" w:rsidR="00C41816" w:rsidRPr="00C41816" w:rsidRDefault="00C41816" w:rsidP="00C41816">
      <w:pPr>
        <w:pStyle w:val="Estilo"/>
        <w:jc w:val="both"/>
        <w:rPr>
          <w:rFonts w:ascii="Open Sans" w:hAnsi="Open Sans" w:cs="Open Sans"/>
          <w:b/>
          <w:sz w:val="20"/>
          <w:szCs w:val="20"/>
          <w:shd w:val="clear" w:color="auto" w:fill="FFFFFF"/>
        </w:rPr>
      </w:pPr>
      <w:r w:rsidRPr="00C41816">
        <w:rPr>
          <w:rFonts w:ascii="Open Sans" w:hAnsi="Open Sans" w:cs="Open Sans"/>
          <w:b/>
          <w:sz w:val="20"/>
          <w:szCs w:val="20"/>
          <w:shd w:val="clear" w:color="auto" w:fill="FFFFFF"/>
        </w:rPr>
        <w:t>[</w:t>
      </w:r>
      <w:r w:rsidRPr="00C41816">
        <w:rPr>
          <w:rFonts w:ascii="Open Sans" w:hAnsi="Open Sans" w:cs="Open Sans"/>
          <w:b/>
          <w:sz w:val="20"/>
          <w:szCs w:val="20"/>
          <w:shd w:val="clear" w:color="auto" w:fill="FFFFFF"/>
        </w:rPr>
        <w:tab/>
        <w:t>] APROVAR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REJEITAR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ABSTER-SE</w:t>
      </w:r>
    </w:p>
    <w:p w14:paraId="1DAA5C3A" w14:textId="77777777" w:rsidR="00C41816" w:rsidRPr="00C41816" w:rsidRDefault="00C41816" w:rsidP="00C41816">
      <w:pPr>
        <w:pStyle w:val="Estilo"/>
        <w:pBdr>
          <w:bottom w:val="single" w:sz="4" w:space="1" w:color="auto"/>
        </w:pBdr>
        <w:jc w:val="both"/>
        <w:rPr>
          <w:rFonts w:ascii="Open Sans" w:hAnsi="Open Sans" w:cs="Open Sans"/>
          <w:sz w:val="20"/>
          <w:szCs w:val="20"/>
          <w:shd w:val="clear" w:color="auto" w:fill="FFFFFF"/>
        </w:rPr>
      </w:pPr>
    </w:p>
    <w:p w14:paraId="2BA0E1B5" w14:textId="65822C47" w:rsidR="00C41816" w:rsidRPr="00C41816" w:rsidRDefault="00C41816" w:rsidP="00C41816">
      <w:pPr>
        <w:pStyle w:val="Estilo"/>
        <w:jc w:val="both"/>
        <w:rPr>
          <w:rFonts w:ascii="Open Sans" w:hAnsi="Open Sans" w:cs="Open Sans"/>
          <w:sz w:val="20"/>
          <w:szCs w:val="20"/>
          <w:shd w:val="clear" w:color="auto" w:fill="FFFFFF"/>
        </w:rPr>
      </w:pPr>
      <w:r w:rsidRPr="00C41816">
        <w:rPr>
          <w:rFonts w:ascii="Open Sans" w:hAnsi="Open Sans" w:cs="Open Sans"/>
          <w:b/>
          <w:bCs/>
          <w:color w:val="000000" w:themeColor="text1"/>
          <w:sz w:val="20"/>
          <w:szCs w:val="20"/>
        </w:rPr>
        <w:lastRenderedPageBreak/>
        <w:t>(x)</w:t>
      </w:r>
      <w:r w:rsidRPr="00C41816">
        <w:rPr>
          <w:rFonts w:ascii="Open Sans" w:hAnsi="Open Sans" w:cs="Open Sans"/>
          <w:color w:val="000000" w:themeColor="text1"/>
          <w:sz w:val="20"/>
          <w:szCs w:val="20"/>
        </w:rPr>
        <w:tab/>
        <w:t>a autorização ou não para que o Agente Fiduciário e a Securitizadora pratiquem todo e qualquer ato, celebrem todos e quaisquer contratos, aditamentos ou documentos necessários para a efetivação e implementação das matérias constantes da Ordem do Dia nos documentos relacionados aos CRI.</w:t>
      </w:r>
    </w:p>
    <w:p w14:paraId="221703DA" w14:textId="77777777" w:rsidR="00C41816" w:rsidRPr="00C41816" w:rsidRDefault="00C41816" w:rsidP="00C41816">
      <w:pPr>
        <w:pStyle w:val="Estilo"/>
        <w:jc w:val="both"/>
        <w:rPr>
          <w:rFonts w:ascii="Open Sans" w:hAnsi="Open Sans" w:cs="Open Sans"/>
          <w:b/>
          <w:sz w:val="20"/>
          <w:szCs w:val="20"/>
          <w:shd w:val="clear" w:color="auto" w:fill="FFFFFF"/>
        </w:rPr>
      </w:pPr>
    </w:p>
    <w:p w14:paraId="67FB9045" w14:textId="77777777" w:rsidR="00C41816" w:rsidRPr="00C41816" w:rsidRDefault="00C41816" w:rsidP="00C41816">
      <w:pPr>
        <w:pStyle w:val="Estilo"/>
        <w:jc w:val="both"/>
        <w:rPr>
          <w:rFonts w:ascii="Open Sans" w:hAnsi="Open Sans" w:cs="Open Sans"/>
          <w:b/>
          <w:sz w:val="20"/>
          <w:szCs w:val="20"/>
          <w:shd w:val="clear" w:color="auto" w:fill="FFFFFF"/>
        </w:rPr>
      </w:pPr>
      <w:r w:rsidRPr="00C41816">
        <w:rPr>
          <w:rFonts w:ascii="Open Sans" w:hAnsi="Open Sans" w:cs="Open Sans"/>
          <w:b/>
          <w:sz w:val="20"/>
          <w:szCs w:val="20"/>
          <w:shd w:val="clear" w:color="auto" w:fill="FFFFFF"/>
        </w:rPr>
        <w:t>[</w:t>
      </w:r>
      <w:r w:rsidRPr="00C41816">
        <w:rPr>
          <w:rFonts w:ascii="Open Sans" w:hAnsi="Open Sans" w:cs="Open Sans"/>
          <w:b/>
          <w:sz w:val="20"/>
          <w:szCs w:val="20"/>
          <w:shd w:val="clear" w:color="auto" w:fill="FFFFFF"/>
        </w:rPr>
        <w:tab/>
        <w:t>] APROVAR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REJEITAR</w:t>
      </w:r>
      <w:r w:rsidRPr="00C41816">
        <w:rPr>
          <w:rFonts w:ascii="Open Sans" w:hAnsi="Open Sans" w:cs="Open Sans"/>
          <w:b/>
          <w:sz w:val="20"/>
          <w:szCs w:val="20"/>
          <w:shd w:val="clear" w:color="auto" w:fill="FFFFFF"/>
        </w:rPr>
        <w:tab/>
      </w:r>
      <w:r w:rsidRPr="00C41816">
        <w:rPr>
          <w:rFonts w:ascii="Open Sans" w:hAnsi="Open Sans" w:cs="Open Sans"/>
          <w:b/>
          <w:sz w:val="20"/>
          <w:szCs w:val="20"/>
          <w:shd w:val="clear" w:color="auto" w:fill="FFFFFF"/>
        </w:rPr>
        <w:tab/>
        <w:t>[</w:t>
      </w:r>
      <w:r w:rsidRPr="00C41816">
        <w:rPr>
          <w:rFonts w:ascii="Open Sans" w:hAnsi="Open Sans" w:cs="Open Sans"/>
          <w:b/>
          <w:sz w:val="20"/>
          <w:szCs w:val="20"/>
          <w:shd w:val="clear" w:color="auto" w:fill="FFFFFF"/>
        </w:rPr>
        <w:tab/>
        <w:t>] ABSTER-SE</w:t>
      </w:r>
    </w:p>
    <w:p w14:paraId="38DA8B3F" w14:textId="77777777" w:rsidR="00C41816" w:rsidRPr="00C41816" w:rsidRDefault="00C41816" w:rsidP="00C41816">
      <w:pPr>
        <w:pStyle w:val="Estilo"/>
        <w:pBdr>
          <w:bottom w:val="single" w:sz="4" w:space="1" w:color="auto"/>
        </w:pBdr>
        <w:jc w:val="both"/>
        <w:rPr>
          <w:rFonts w:ascii="Open Sans" w:hAnsi="Open Sans" w:cs="Open Sans"/>
          <w:sz w:val="20"/>
          <w:szCs w:val="20"/>
          <w:shd w:val="clear" w:color="auto" w:fill="FFFFFF"/>
        </w:rPr>
      </w:pPr>
    </w:p>
    <w:p w14:paraId="331CC41B" w14:textId="77777777" w:rsidR="00C41816" w:rsidRPr="00C41816" w:rsidRDefault="00C41816" w:rsidP="00C41816">
      <w:pPr>
        <w:pStyle w:val="Estilo"/>
        <w:jc w:val="both"/>
        <w:rPr>
          <w:rFonts w:ascii="Open Sans" w:hAnsi="Open Sans" w:cs="Open Sans"/>
          <w:sz w:val="20"/>
          <w:szCs w:val="20"/>
          <w:shd w:val="clear" w:color="auto" w:fill="FFFFFF"/>
        </w:rPr>
      </w:pPr>
    </w:p>
    <w:p w14:paraId="2BE3D467" w14:textId="77777777" w:rsidR="00607502" w:rsidRPr="00C41816" w:rsidRDefault="00607502"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C41816" w14:paraId="46CCFA70" w14:textId="77777777" w:rsidTr="00DB18B7">
        <w:tc>
          <w:tcPr>
            <w:tcW w:w="2835" w:type="dxa"/>
          </w:tcPr>
          <w:p w14:paraId="11981F27" w14:textId="77777777" w:rsidR="00FB0D24" w:rsidRPr="00C41816" w:rsidRDefault="00FB0D24" w:rsidP="00C41816">
            <w:pPr>
              <w:pStyle w:val="Estilo"/>
              <w:spacing w:before="120"/>
              <w:jc w:val="both"/>
              <w:rPr>
                <w:rFonts w:ascii="Open Sans" w:hAnsi="Open Sans" w:cs="Open Sans"/>
                <w:shd w:val="clear" w:color="auto" w:fill="FFFFFF"/>
              </w:rPr>
            </w:pPr>
            <w:r w:rsidRPr="00C41816">
              <w:rPr>
                <w:rFonts w:ascii="Open Sans" w:hAnsi="Open Sans" w:cs="Open Sans"/>
                <w:shd w:val="clear" w:color="auto" w:fill="FFFFFF"/>
              </w:rPr>
              <w:t>Local:</w:t>
            </w:r>
          </w:p>
          <w:p w14:paraId="13EFE6A0" w14:textId="77777777" w:rsidR="00FB0D24" w:rsidRPr="00C41816"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C41816" w:rsidRDefault="00FB0D24" w:rsidP="00C41816">
            <w:pPr>
              <w:pStyle w:val="Estilo"/>
              <w:spacing w:before="120"/>
              <w:jc w:val="both"/>
              <w:rPr>
                <w:rFonts w:ascii="Open Sans" w:hAnsi="Open Sans" w:cs="Open Sans"/>
                <w:shd w:val="clear" w:color="auto" w:fill="FFFFFF"/>
              </w:rPr>
            </w:pPr>
          </w:p>
        </w:tc>
      </w:tr>
      <w:tr w:rsidR="00FB0D24" w:rsidRPr="00C41816" w14:paraId="2B19C7FD" w14:textId="77777777" w:rsidTr="00DB18B7">
        <w:tc>
          <w:tcPr>
            <w:tcW w:w="2835" w:type="dxa"/>
          </w:tcPr>
          <w:p w14:paraId="40B06DC9" w14:textId="77777777" w:rsidR="00FB0D24" w:rsidRPr="00C41816" w:rsidRDefault="00FB0D24" w:rsidP="00C41816">
            <w:pPr>
              <w:pStyle w:val="Estilo"/>
              <w:spacing w:before="120"/>
              <w:jc w:val="both"/>
              <w:rPr>
                <w:rFonts w:ascii="Open Sans" w:hAnsi="Open Sans" w:cs="Open Sans"/>
                <w:shd w:val="clear" w:color="auto" w:fill="FFFFFF"/>
              </w:rPr>
            </w:pPr>
            <w:r w:rsidRPr="00C41816">
              <w:rPr>
                <w:rFonts w:ascii="Open Sans" w:hAnsi="Open Sans" w:cs="Open Sans"/>
                <w:shd w:val="clear" w:color="auto" w:fill="FFFFFF"/>
              </w:rPr>
              <w:t>Data:</w:t>
            </w:r>
          </w:p>
          <w:p w14:paraId="4B707C5B" w14:textId="77777777" w:rsidR="00FB0D24" w:rsidRPr="00C41816"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C41816" w:rsidRDefault="00FB0D24" w:rsidP="00C41816">
            <w:pPr>
              <w:pStyle w:val="Estilo"/>
              <w:spacing w:before="120"/>
              <w:jc w:val="both"/>
              <w:rPr>
                <w:rFonts w:ascii="Open Sans" w:hAnsi="Open Sans" w:cs="Open Sans"/>
                <w:shd w:val="clear" w:color="auto" w:fill="FFFFFF"/>
              </w:rPr>
            </w:pPr>
          </w:p>
        </w:tc>
      </w:tr>
      <w:tr w:rsidR="00FB0D24" w:rsidRPr="00C41816" w14:paraId="1B5C9A67" w14:textId="77777777" w:rsidTr="00DB18B7">
        <w:tc>
          <w:tcPr>
            <w:tcW w:w="2835" w:type="dxa"/>
          </w:tcPr>
          <w:p w14:paraId="171A0AB5" w14:textId="77777777" w:rsidR="00FB0D24" w:rsidRPr="00C41816" w:rsidRDefault="00FB0D24" w:rsidP="00C41816">
            <w:pPr>
              <w:pStyle w:val="Estilo"/>
              <w:spacing w:before="120"/>
              <w:jc w:val="both"/>
              <w:rPr>
                <w:rFonts w:ascii="Open Sans" w:hAnsi="Open Sans" w:cs="Open Sans"/>
                <w:shd w:val="clear" w:color="auto" w:fill="FFFFFF"/>
              </w:rPr>
            </w:pPr>
            <w:r w:rsidRPr="00C41816">
              <w:rPr>
                <w:rFonts w:ascii="Open Sans" w:hAnsi="Open Sans" w:cs="Open Sans"/>
                <w:shd w:val="clear" w:color="auto" w:fill="FFFFFF"/>
              </w:rPr>
              <w:t>Assinatura:</w:t>
            </w:r>
          </w:p>
          <w:p w14:paraId="5D197467" w14:textId="77777777" w:rsidR="00FB0D24" w:rsidRPr="00C41816"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C41816" w:rsidRDefault="00FB0D24" w:rsidP="00C41816">
            <w:pPr>
              <w:pStyle w:val="Estilo"/>
              <w:spacing w:before="120"/>
              <w:jc w:val="both"/>
              <w:rPr>
                <w:rFonts w:ascii="Open Sans" w:hAnsi="Open Sans" w:cs="Open Sans"/>
                <w:shd w:val="clear" w:color="auto" w:fill="FFFFFF"/>
              </w:rPr>
            </w:pPr>
          </w:p>
        </w:tc>
      </w:tr>
    </w:tbl>
    <w:p w14:paraId="209EBFAC" w14:textId="77777777" w:rsidR="001F020C" w:rsidRDefault="001F020C" w:rsidP="00C41816">
      <w:pPr>
        <w:rPr>
          <w:rFonts w:ascii="Open Sans" w:hAnsi="Open Sans" w:cs="Open Sans"/>
          <w:sz w:val="20"/>
          <w:szCs w:val="20"/>
          <w:shd w:val="clear" w:color="auto" w:fill="FFFFFF"/>
        </w:rPr>
      </w:pPr>
    </w:p>
    <w:p w14:paraId="025D91CA" w14:textId="77777777" w:rsidR="001F020C" w:rsidRDefault="001F020C">
      <w:pPr>
        <w:rPr>
          <w:rFonts w:ascii="Open Sans" w:hAnsi="Open Sans" w:cs="Open Sans"/>
          <w:sz w:val="20"/>
          <w:szCs w:val="20"/>
          <w:shd w:val="clear" w:color="auto" w:fill="FFFFFF"/>
        </w:rPr>
      </w:pPr>
      <w:r>
        <w:rPr>
          <w:rFonts w:ascii="Open Sans" w:hAnsi="Open Sans" w:cs="Open Sans"/>
          <w:sz w:val="20"/>
          <w:szCs w:val="20"/>
          <w:shd w:val="clear" w:color="auto" w:fill="FFFFFF"/>
        </w:rPr>
        <w:br w:type="page"/>
      </w:r>
    </w:p>
    <w:p w14:paraId="643E7FCE" w14:textId="052BF4DE" w:rsidR="00FB0D24" w:rsidRPr="00C41816" w:rsidRDefault="00FB0D24" w:rsidP="00C41816">
      <w:pPr>
        <w:rPr>
          <w:rFonts w:ascii="Open Sans" w:hAnsi="Open Sans" w:cs="Open Sans"/>
          <w:b/>
          <w:sz w:val="20"/>
          <w:szCs w:val="20"/>
          <w:shd w:val="clear" w:color="auto" w:fill="FFFFFF"/>
        </w:rPr>
      </w:pPr>
      <w:r w:rsidRPr="00C41816">
        <w:rPr>
          <w:rFonts w:ascii="Open Sans" w:hAnsi="Open Sans" w:cs="Open Sans"/>
          <w:b/>
          <w:sz w:val="20"/>
          <w:szCs w:val="20"/>
          <w:shd w:val="clear" w:color="auto" w:fill="FFFFFF"/>
        </w:rPr>
        <w:lastRenderedPageBreak/>
        <w:t>ORIENTAÇÕES DE PREENCHIMENTO</w:t>
      </w:r>
    </w:p>
    <w:p w14:paraId="4CB9F0A8" w14:textId="77777777" w:rsidR="00FB0D24" w:rsidRPr="00C41816" w:rsidRDefault="00FB0D24" w:rsidP="00C41816">
      <w:pPr>
        <w:pStyle w:val="Estilo"/>
        <w:jc w:val="both"/>
        <w:rPr>
          <w:rFonts w:ascii="Open Sans" w:hAnsi="Open Sans" w:cs="Open Sans"/>
          <w:b/>
          <w:sz w:val="20"/>
          <w:szCs w:val="20"/>
          <w:shd w:val="clear" w:color="auto" w:fill="FFFFFF"/>
        </w:rPr>
      </w:pPr>
    </w:p>
    <w:p w14:paraId="14522950" w14:textId="6BA3C224" w:rsidR="00FB0D24" w:rsidRPr="00C41816" w:rsidRDefault="00FB0D24" w:rsidP="00C41816">
      <w:pPr>
        <w:pStyle w:val="Estilo"/>
        <w:jc w:val="both"/>
        <w:rPr>
          <w:rFonts w:ascii="Open Sans" w:hAnsi="Open Sans" w:cs="Open Sans"/>
          <w:b/>
          <w:sz w:val="20"/>
          <w:szCs w:val="20"/>
          <w:shd w:val="clear" w:color="auto" w:fill="FFFFFF"/>
        </w:rPr>
      </w:pPr>
      <w:r w:rsidRPr="00C41816">
        <w:rPr>
          <w:rFonts w:ascii="Open Sans" w:hAnsi="Open Sans" w:cs="Open Sans"/>
          <w:sz w:val="20"/>
          <w:szCs w:val="20"/>
          <w:shd w:val="clear" w:color="auto" w:fill="FFFFFF"/>
        </w:rPr>
        <w:t xml:space="preserve">Termos iniciados por letra maiúscula utilizados nesta instrução de voto </w:t>
      </w:r>
      <w:r w:rsidR="005A08C8" w:rsidRPr="00C41816">
        <w:rPr>
          <w:rFonts w:ascii="Open Sans" w:hAnsi="Open Sans" w:cs="Open Sans"/>
          <w:sz w:val="20"/>
          <w:szCs w:val="20"/>
          <w:shd w:val="clear" w:color="auto" w:fill="FFFFFF"/>
        </w:rPr>
        <w:t>à</w:t>
      </w:r>
      <w:r w:rsidRPr="00C41816">
        <w:rPr>
          <w:rFonts w:ascii="Open Sans" w:hAnsi="Open Sans" w:cs="Open Sans"/>
          <w:sz w:val="20"/>
          <w:szCs w:val="20"/>
          <w:shd w:val="clear" w:color="auto" w:fill="FFFFFF"/>
        </w:rPr>
        <w:t xml:space="preserve"> distância ("</w:t>
      </w:r>
      <w:r w:rsidRPr="00C41816">
        <w:rPr>
          <w:rFonts w:ascii="Open Sans" w:hAnsi="Open Sans" w:cs="Open Sans"/>
          <w:sz w:val="20"/>
          <w:szCs w:val="20"/>
          <w:u w:val="single"/>
          <w:shd w:val="clear" w:color="auto" w:fill="FFFFFF"/>
        </w:rPr>
        <w:t>Instrução de Voto</w:t>
      </w:r>
      <w:r w:rsidRPr="00C41816">
        <w:rPr>
          <w:rFonts w:ascii="Open Sans" w:hAnsi="Open Sans" w:cs="Open Sans"/>
          <w:sz w:val="20"/>
          <w:szCs w:val="20"/>
          <w:shd w:val="clear" w:color="auto" w:fill="FFFFFF"/>
        </w:rPr>
        <w:t xml:space="preserve">") da </w:t>
      </w:r>
      <w:r w:rsidR="00481AC4" w:rsidRPr="00C41816">
        <w:rPr>
          <w:rFonts w:ascii="Open Sans" w:hAnsi="Open Sans" w:cs="Open Sans"/>
          <w:color w:val="000000" w:themeColor="text1"/>
          <w:sz w:val="20"/>
          <w:szCs w:val="20"/>
        </w:rPr>
        <w:t>Assembleia Geral de Titulares dos Certificados de Recebíveis Imobiliários das 280ª, 281ª e 282ª Séries da 1ª Emissão da Forte Securitizadora S.A.</w:t>
      </w:r>
      <w:r w:rsidR="00481AC4" w:rsidRPr="00C41816">
        <w:rPr>
          <w:rFonts w:ascii="Open Sans" w:hAnsi="Open Sans" w:cs="Open Sans"/>
          <w:sz w:val="20"/>
          <w:szCs w:val="20"/>
          <w:shd w:val="clear" w:color="auto" w:fill="FFFFFF"/>
        </w:rPr>
        <w:t xml:space="preserve"> </w:t>
      </w:r>
      <w:r w:rsidRPr="00C41816">
        <w:rPr>
          <w:rFonts w:ascii="Open Sans" w:hAnsi="Open Sans" w:cs="Open Sans"/>
          <w:sz w:val="20"/>
          <w:szCs w:val="20"/>
          <w:shd w:val="clear" w:color="auto" w:fill="FFFFFF"/>
        </w:rPr>
        <w:t>(“</w:t>
      </w:r>
      <w:r w:rsidRPr="00C41816">
        <w:rPr>
          <w:rFonts w:ascii="Open Sans" w:hAnsi="Open Sans" w:cs="Open Sans"/>
          <w:sz w:val="20"/>
          <w:szCs w:val="20"/>
          <w:u w:val="single"/>
          <w:shd w:val="clear" w:color="auto" w:fill="FFFFFF"/>
        </w:rPr>
        <w:t>Emissão</w:t>
      </w:r>
      <w:r w:rsidRPr="00C41816">
        <w:rPr>
          <w:rFonts w:ascii="Open Sans" w:hAnsi="Open Sans" w:cs="Open Sans"/>
          <w:sz w:val="20"/>
          <w:szCs w:val="20"/>
          <w:shd w:val="clear" w:color="auto" w:fill="FFFFFF"/>
        </w:rPr>
        <w:t>”, “</w:t>
      </w:r>
      <w:r w:rsidRPr="00C41816">
        <w:rPr>
          <w:rFonts w:ascii="Open Sans" w:hAnsi="Open Sans" w:cs="Open Sans"/>
          <w:sz w:val="20"/>
          <w:szCs w:val="20"/>
          <w:u w:val="single"/>
          <w:shd w:val="clear" w:color="auto" w:fill="FFFFFF"/>
        </w:rPr>
        <w:t>CR</w:t>
      </w:r>
      <w:r w:rsidR="00481AC4" w:rsidRPr="00C41816">
        <w:rPr>
          <w:rFonts w:ascii="Open Sans" w:hAnsi="Open Sans" w:cs="Open Sans"/>
          <w:sz w:val="20"/>
          <w:szCs w:val="20"/>
          <w:u w:val="single"/>
          <w:shd w:val="clear" w:color="auto" w:fill="FFFFFF"/>
        </w:rPr>
        <w:t>I</w:t>
      </w:r>
      <w:r w:rsidRPr="00C41816">
        <w:rPr>
          <w:rFonts w:ascii="Open Sans" w:hAnsi="Open Sans" w:cs="Open Sans"/>
          <w:sz w:val="20"/>
          <w:szCs w:val="20"/>
          <w:shd w:val="clear" w:color="auto" w:fill="FFFFFF"/>
        </w:rPr>
        <w:t>” e "</w:t>
      </w:r>
      <w:r w:rsidRPr="00C41816">
        <w:rPr>
          <w:rFonts w:ascii="Open Sans" w:hAnsi="Open Sans" w:cs="Open Sans"/>
          <w:sz w:val="20"/>
          <w:szCs w:val="20"/>
          <w:u w:val="single"/>
          <w:shd w:val="clear" w:color="auto" w:fill="FFFFFF"/>
        </w:rPr>
        <w:t>Emissora</w:t>
      </w:r>
      <w:r w:rsidRPr="00C41816">
        <w:rPr>
          <w:rFonts w:ascii="Open Sans" w:hAnsi="Open Sans" w:cs="Open Sans"/>
          <w:sz w:val="20"/>
          <w:szCs w:val="20"/>
          <w:shd w:val="clear" w:color="auto" w:fill="FFFFFF"/>
        </w:rPr>
        <w:t xml:space="preserve">", respectivamente), que não estiverem aqui definidos, têm o significado que lhes for atribuído no </w:t>
      </w:r>
      <w:r w:rsidR="00481AC4" w:rsidRPr="00C41816">
        <w:rPr>
          <w:rFonts w:ascii="Open Sans" w:hAnsi="Open Sans" w:cs="Open Sans"/>
          <w:color w:val="000000" w:themeColor="text1"/>
          <w:sz w:val="20"/>
          <w:szCs w:val="20"/>
        </w:rPr>
        <w:t>Termo de Securitização de Créditos Imobiliários da 280ª, 281ª e 282ª Séries da 1ª Emissão de Certificados de Recebíveis Imobiliários da</w:t>
      </w:r>
      <w:r w:rsidRPr="00C41816">
        <w:rPr>
          <w:rFonts w:ascii="Open Sans" w:hAnsi="Open Sans" w:cs="Open Sans"/>
          <w:iCs/>
          <w:sz w:val="20"/>
          <w:szCs w:val="20"/>
        </w:rPr>
        <w:t xml:space="preserve"> Forte Securitizadora S.A.,</w:t>
      </w:r>
      <w:r w:rsidRPr="00C41816">
        <w:rPr>
          <w:rFonts w:ascii="Open Sans" w:hAnsi="Open Sans" w:cs="Open Sans"/>
          <w:sz w:val="20"/>
          <w:szCs w:val="20"/>
        </w:rPr>
        <w:t xml:space="preserve"> celebrado em </w:t>
      </w:r>
      <w:r w:rsidR="00481AC4" w:rsidRPr="00C41816">
        <w:rPr>
          <w:rFonts w:ascii="Open Sans" w:hAnsi="Open Sans" w:cs="Open Sans"/>
          <w:sz w:val="20"/>
          <w:szCs w:val="20"/>
        </w:rPr>
        <w:t>25</w:t>
      </w:r>
      <w:r w:rsidRPr="00C41816">
        <w:rPr>
          <w:rFonts w:ascii="Open Sans" w:hAnsi="Open Sans" w:cs="Open Sans"/>
          <w:sz w:val="20"/>
          <w:szCs w:val="20"/>
        </w:rPr>
        <w:t xml:space="preserve"> de </w:t>
      </w:r>
      <w:r w:rsidR="00481AC4" w:rsidRPr="00C41816">
        <w:rPr>
          <w:rFonts w:ascii="Open Sans" w:hAnsi="Open Sans" w:cs="Open Sans"/>
          <w:sz w:val="20"/>
          <w:szCs w:val="20"/>
        </w:rPr>
        <w:t>novembro</w:t>
      </w:r>
      <w:r w:rsidRPr="00C41816">
        <w:rPr>
          <w:rFonts w:ascii="Open Sans" w:hAnsi="Open Sans" w:cs="Open Sans"/>
          <w:sz w:val="20"/>
          <w:szCs w:val="20"/>
        </w:rPr>
        <w:t xml:space="preserve"> de 201</w:t>
      </w:r>
      <w:r w:rsidR="00481AC4" w:rsidRPr="00C41816">
        <w:rPr>
          <w:rFonts w:ascii="Open Sans" w:hAnsi="Open Sans" w:cs="Open Sans"/>
          <w:sz w:val="20"/>
          <w:szCs w:val="20"/>
        </w:rPr>
        <w:t>9</w:t>
      </w:r>
      <w:r w:rsidRPr="00C41816">
        <w:rPr>
          <w:rFonts w:ascii="Open Sans" w:hAnsi="Open Sans" w:cs="Open Sans"/>
          <w:sz w:val="20"/>
          <w:szCs w:val="20"/>
        </w:rPr>
        <w:t xml:space="preserve"> entre a Emissora e a </w:t>
      </w:r>
      <w:r w:rsidRPr="00C41816">
        <w:rPr>
          <w:rFonts w:ascii="Open Sans" w:hAnsi="Open Sans" w:cs="Open Sans"/>
          <w:smallCaps/>
          <w:sz w:val="20"/>
          <w:szCs w:val="20"/>
        </w:rPr>
        <w:t>Vórtx Distribuidora de Títulos e Valores Mobiliários Ltda</w:t>
      </w:r>
      <w:r w:rsidRPr="00C41816">
        <w:rPr>
          <w:rFonts w:ascii="Open Sans" w:hAnsi="Open Sans" w:cs="Open Sans"/>
          <w:sz w:val="20"/>
          <w:szCs w:val="20"/>
        </w:rPr>
        <w:t>. (“</w:t>
      </w:r>
      <w:r w:rsidRPr="00C41816">
        <w:rPr>
          <w:rFonts w:ascii="Open Sans" w:hAnsi="Open Sans" w:cs="Open Sans"/>
          <w:sz w:val="20"/>
          <w:szCs w:val="20"/>
          <w:u w:val="single"/>
        </w:rPr>
        <w:t>Termo de Securitização</w:t>
      </w:r>
      <w:r w:rsidRPr="00C41816">
        <w:rPr>
          <w:rFonts w:ascii="Open Sans" w:hAnsi="Open Sans" w:cs="Open Sans"/>
          <w:sz w:val="20"/>
          <w:szCs w:val="20"/>
        </w:rPr>
        <w:t>” e “</w:t>
      </w:r>
      <w:r w:rsidRPr="00C41816">
        <w:rPr>
          <w:rFonts w:ascii="Open Sans" w:hAnsi="Open Sans" w:cs="Open Sans"/>
          <w:sz w:val="20"/>
          <w:szCs w:val="20"/>
          <w:u w:val="single"/>
        </w:rPr>
        <w:t>Agente Fiduciário</w:t>
      </w:r>
      <w:r w:rsidRPr="00C41816">
        <w:rPr>
          <w:rFonts w:ascii="Open Sans" w:hAnsi="Open Sans" w:cs="Open Sans"/>
          <w:sz w:val="20"/>
          <w:szCs w:val="20"/>
        </w:rPr>
        <w:t>”, respectivamente)</w:t>
      </w:r>
      <w:r w:rsidRPr="00C41816">
        <w:rPr>
          <w:rFonts w:ascii="Open Sans" w:hAnsi="Open Sans" w:cs="Open Sans"/>
          <w:sz w:val="20"/>
          <w:szCs w:val="20"/>
          <w:shd w:val="clear" w:color="auto" w:fill="FFFFFF"/>
        </w:rPr>
        <w:t>.</w:t>
      </w:r>
    </w:p>
    <w:p w14:paraId="2F079218" w14:textId="77777777" w:rsidR="00FB0D24" w:rsidRPr="00C41816" w:rsidRDefault="00FB0D24" w:rsidP="00C41816">
      <w:pPr>
        <w:pStyle w:val="Estilo"/>
        <w:jc w:val="both"/>
        <w:rPr>
          <w:rFonts w:ascii="Open Sans" w:hAnsi="Open Sans" w:cs="Open Sans"/>
          <w:b/>
          <w:sz w:val="20"/>
          <w:szCs w:val="20"/>
          <w:shd w:val="clear" w:color="auto" w:fill="FFFFFF"/>
        </w:rPr>
      </w:pPr>
    </w:p>
    <w:p w14:paraId="507C66C1" w14:textId="3372554A" w:rsidR="00FB0D24" w:rsidRPr="00C41816" w:rsidRDefault="00FB0D24" w:rsidP="00C41816">
      <w:pPr>
        <w:pStyle w:val="Estilo"/>
        <w:jc w:val="both"/>
        <w:rPr>
          <w:rFonts w:ascii="Open Sans" w:hAnsi="Open Sans" w:cs="Open Sans"/>
          <w:sz w:val="20"/>
          <w:szCs w:val="20"/>
          <w:shd w:val="clear" w:color="auto" w:fill="FFFFFF"/>
        </w:rPr>
      </w:pPr>
      <w:r w:rsidRPr="00C41816">
        <w:rPr>
          <w:rFonts w:ascii="Open Sans" w:hAnsi="Open Sans" w:cs="Open Sans"/>
          <w:sz w:val="20"/>
          <w:szCs w:val="20"/>
          <w:shd w:val="clear" w:color="auto" w:fill="FFFFFF"/>
        </w:rPr>
        <w:t>Esta Instrução de Voto deve ser preenchida caso o titular de CR</w:t>
      </w:r>
      <w:r w:rsidR="00481AC4" w:rsidRPr="00C41816">
        <w:rPr>
          <w:rFonts w:ascii="Open Sans" w:hAnsi="Open Sans" w:cs="Open Sans"/>
          <w:sz w:val="20"/>
          <w:szCs w:val="20"/>
          <w:shd w:val="clear" w:color="auto" w:fill="FFFFFF"/>
        </w:rPr>
        <w:t>I</w:t>
      </w:r>
      <w:r w:rsidRPr="00C41816">
        <w:rPr>
          <w:rFonts w:ascii="Open Sans" w:hAnsi="Open Sans" w:cs="Open Sans"/>
          <w:sz w:val="20"/>
          <w:szCs w:val="20"/>
          <w:shd w:val="clear" w:color="auto" w:fill="FFFFFF"/>
        </w:rPr>
        <w:t xml:space="preserve"> (“</w:t>
      </w:r>
      <w:r w:rsidRPr="00C41816">
        <w:rPr>
          <w:rFonts w:ascii="Open Sans" w:hAnsi="Open Sans" w:cs="Open Sans"/>
          <w:sz w:val="20"/>
          <w:szCs w:val="20"/>
          <w:u w:val="single"/>
          <w:shd w:val="clear" w:color="auto" w:fill="FFFFFF"/>
        </w:rPr>
        <w:t>Titular de CR</w:t>
      </w:r>
      <w:r w:rsidR="00481AC4" w:rsidRPr="00C41816">
        <w:rPr>
          <w:rFonts w:ascii="Open Sans" w:hAnsi="Open Sans" w:cs="Open Sans"/>
          <w:sz w:val="20"/>
          <w:szCs w:val="20"/>
          <w:u w:val="single"/>
          <w:shd w:val="clear" w:color="auto" w:fill="FFFFFF"/>
        </w:rPr>
        <w:t>I</w:t>
      </w:r>
      <w:r w:rsidRPr="00C41816">
        <w:rPr>
          <w:rFonts w:ascii="Open Sans" w:hAnsi="Open Sans" w:cs="Open Sans"/>
          <w:sz w:val="20"/>
          <w:szCs w:val="20"/>
          <w:shd w:val="clear" w:color="auto" w:fill="FFFFFF"/>
        </w:rPr>
        <w:t xml:space="preserve">”) opte por exercer seu direito de voto por meio de instrução de voto </w:t>
      </w:r>
      <w:r w:rsidR="005C019D" w:rsidRPr="00C41816">
        <w:rPr>
          <w:rFonts w:ascii="Open Sans" w:hAnsi="Open Sans" w:cs="Open Sans"/>
          <w:sz w:val="20"/>
          <w:szCs w:val="20"/>
          <w:shd w:val="clear" w:color="auto" w:fill="FFFFFF"/>
        </w:rPr>
        <w:t>à</w:t>
      </w:r>
      <w:r w:rsidRPr="00C41816">
        <w:rPr>
          <w:rFonts w:ascii="Open Sans" w:hAnsi="Open Sans" w:cs="Open Sans"/>
          <w:sz w:val="20"/>
          <w:szCs w:val="20"/>
          <w:shd w:val="clear" w:color="auto" w:fill="FFFFFF"/>
        </w:rPr>
        <w:t xml:space="preserve"> distância, nos termos da Instrução da Comissão de Valores Mobiliários (“</w:t>
      </w:r>
      <w:r w:rsidRPr="00C41816">
        <w:rPr>
          <w:rFonts w:ascii="Open Sans" w:hAnsi="Open Sans" w:cs="Open Sans"/>
          <w:sz w:val="20"/>
          <w:szCs w:val="20"/>
          <w:u w:val="single"/>
          <w:shd w:val="clear" w:color="auto" w:fill="FFFFFF"/>
        </w:rPr>
        <w:t>CVM</w:t>
      </w:r>
      <w:r w:rsidRPr="00C41816">
        <w:rPr>
          <w:rFonts w:ascii="Open Sans" w:hAnsi="Open Sans" w:cs="Open Sans"/>
          <w:sz w:val="20"/>
          <w:szCs w:val="20"/>
          <w:shd w:val="clear" w:color="auto" w:fill="FFFFFF"/>
        </w:rPr>
        <w:t>”) nº 625, de 14 de maio de 2020 (“</w:t>
      </w:r>
      <w:r w:rsidRPr="00C41816">
        <w:rPr>
          <w:rFonts w:ascii="Open Sans" w:hAnsi="Open Sans" w:cs="Open Sans"/>
          <w:sz w:val="20"/>
          <w:szCs w:val="20"/>
          <w:u w:val="single"/>
          <w:shd w:val="clear" w:color="auto" w:fill="FFFFFF"/>
        </w:rPr>
        <w:t>Instrução CVM 625</w:t>
      </w:r>
      <w:r w:rsidRPr="00C41816">
        <w:rPr>
          <w:rFonts w:ascii="Open Sans" w:hAnsi="Open Sans" w:cs="Open Sans"/>
          <w:sz w:val="20"/>
          <w:szCs w:val="20"/>
          <w:shd w:val="clear" w:color="auto" w:fill="FFFFFF"/>
        </w:rPr>
        <w:t>”).</w:t>
      </w:r>
    </w:p>
    <w:p w14:paraId="4F7ED141" w14:textId="77777777" w:rsidR="00FB0D24" w:rsidRPr="00C41816" w:rsidRDefault="00FB0D24" w:rsidP="00C41816">
      <w:pPr>
        <w:pStyle w:val="Estilo"/>
        <w:jc w:val="both"/>
        <w:rPr>
          <w:rFonts w:ascii="Open Sans" w:hAnsi="Open Sans" w:cs="Open Sans"/>
          <w:sz w:val="20"/>
          <w:szCs w:val="20"/>
          <w:shd w:val="clear" w:color="auto" w:fill="FFFFFF"/>
        </w:rPr>
      </w:pPr>
    </w:p>
    <w:p w14:paraId="4F2E8DF8" w14:textId="77777777" w:rsidR="00FB0D24" w:rsidRPr="00C41816" w:rsidRDefault="00FB0D24" w:rsidP="00C41816">
      <w:pPr>
        <w:pStyle w:val="Estilo"/>
        <w:jc w:val="both"/>
        <w:rPr>
          <w:rFonts w:ascii="Open Sans" w:hAnsi="Open Sans" w:cs="Open Sans"/>
          <w:sz w:val="20"/>
          <w:szCs w:val="20"/>
          <w:shd w:val="clear" w:color="auto" w:fill="FFFFFF"/>
        </w:rPr>
      </w:pPr>
      <w:r w:rsidRPr="00C41816">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C41816" w:rsidRDefault="00FB0D24" w:rsidP="00C41816">
      <w:pPr>
        <w:pStyle w:val="Estilo"/>
        <w:jc w:val="both"/>
        <w:rPr>
          <w:rFonts w:ascii="Open Sans" w:hAnsi="Open Sans" w:cs="Open Sans"/>
          <w:sz w:val="20"/>
          <w:szCs w:val="20"/>
          <w:shd w:val="clear" w:color="auto" w:fill="FFFFFF"/>
        </w:rPr>
      </w:pPr>
    </w:p>
    <w:p w14:paraId="249EB811" w14:textId="3811E29D" w:rsidR="00FB0D24" w:rsidRPr="00C41816" w:rsidRDefault="00FB0D24" w:rsidP="00C41816">
      <w:pPr>
        <w:pStyle w:val="Estilo"/>
        <w:numPr>
          <w:ilvl w:val="0"/>
          <w:numId w:val="6"/>
        </w:numPr>
        <w:jc w:val="both"/>
        <w:rPr>
          <w:rFonts w:ascii="Open Sans" w:hAnsi="Open Sans" w:cs="Open Sans"/>
          <w:sz w:val="20"/>
          <w:szCs w:val="20"/>
          <w:shd w:val="clear" w:color="auto" w:fill="FFFFFF"/>
        </w:rPr>
      </w:pPr>
      <w:r w:rsidRPr="00C41816">
        <w:rPr>
          <w:rFonts w:ascii="Open Sans" w:hAnsi="Open Sans" w:cs="Open Sans"/>
          <w:sz w:val="20"/>
          <w:szCs w:val="20"/>
          <w:shd w:val="clear" w:color="auto" w:fill="FFFFFF"/>
        </w:rPr>
        <w:t>todos os campos, incluindo a indicação do nome ou denominação social completa do Titular de CR</w:t>
      </w:r>
      <w:r w:rsidR="00481AC4" w:rsidRPr="00C41816">
        <w:rPr>
          <w:rFonts w:ascii="Open Sans" w:hAnsi="Open Sans" w:cs="Open Sans"/>
          <w:sz w:val="20"/>
          <w:szCs w:val="20"/>
          <w:shd w:val="clear" w:color="auto" w:fill="FFFFFF"/>
        </w:rPr>
        <w:t>I</w:t>
      </w:r>
      <w:r w:rsidRPr="00C41816">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77777777" w:rsidR="00FB0D24" w:rsidRPr="00C41816" w:rsidRDefault="00FB0D24" w:rsidP="00C41816">
      <w:pPr>
        <w:pStyle w:val="Estilo"/>
        <w:jc w:val="both"/>
        <w:rPr>
          <w:rFonts w:ascii="Open Sans" w:hAnsi="Open Sans" w:cs="Open Sans"/>
          <w:sz w:val="20"/>
          <w:szCs w:val="20"/>
          <w:shd w:val="clear" w:color="auto" w:fill="FFFFFF"/>
        </w:rPr>
      </w:pPr>
    </w:p>
    <w:p w14:paraId="6EE3F543" w14:textId="77777777" w:rsidR="00FB0D24" w:rsidRPr="00C41816" w:rsidRDefault="00FB0D24" w:rsidP="00C41816">
      <w:pPr>
        <w:pStyle w:val="Estilo"/>
        <w:numPr>
          <w:ilvl w:val="0"/>
          <w:numId w:val="6"/>
        </w:numPr>
        <w:jc w:val="both"/>
        <w:rPr>
          <w:rFonts w:ascii="Open Sans" w:hAnsi="Open Sans" w:cs="Open Sans"/>
          <w:sz w:val="20"/>
          <w:szCs w:val="20"/>
          <w:shd w:val="clear" w:color="auto" w:fill="FFFFFF"/>
        </w:rPr>
      </w:pPr>
      <w:r w:rsidRPr="00C41816">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C41816" w:rsidRDefault="00FB0D24" w:rsidP="00C41816">
      <w:pPr>
        <w:pStyle w:val="Estilo"/>
        <w:jc w:val="both"/>
        <w:rPr>
          <w:rFonts w:ascii="Open Sans" w:hAnsi="Open Sans" w:cs="Open Sans"/>
          <w:sz w:val="20"/>
          <w:szCs w:val="20"/>
          <w:shd w:val="clear" w:color="auto" w:fill="FFFFFF"/>
        </w:rPr>
      </w:pPr>
    </w:p>
    <w:p w14:paraId="02914B03" w14:textId="34FCDB63" w:rsidR="00FB0D24" w:rsidRPr="00C41816" w:rsidRDefault="00FB0D24" w:rsidP="00C41816">
      <w:pPr>
        <w:pStyle w:val="Estilo"/>
        <w:numPr>
          <w:ilvl w:val="0"/>
          <w:numId w:val="6"/>
        </w:numPr>
        <w:jc w:val="both"/>
        <w:rPr>
          <w:rFonts w:ascii="Open Sans" w:hAnsi="Open Sans" w:cs="Open Sans"/>
          <w:sz w:val="20"/>
          <w:szCs w:val="20"/>
          <w:shd w:val="clear" w:color="auto" w:fill="FFFFFF"/>
        </w:rPr>
      </w:pPr>
      <w:r w:rsidRPr="00C41816">
        <w:rPr>
          <w:rFonts w:ascii="Open Sans" w:hAnsi="Open Sans" w:cs="Open Sans"/>
          <w:sz w:val="20"/>
          <w:szCs w:val="20"/>
          <w:shd w:val="clear" w:color="auto" w:fill="FFFFFF"/>
        </w:rPr>
        <w:t>ao final, o Titular de CR</w:t>
      </w:r>
      <w:r w:rsidR="00481AC4" w:rsidRPr="00C41816">
        <w:rPr>
          <w:rFonts w:ascii="Open Sans" w:hAnsi="Open Sans" w:cs="Open Sans"/>
          <w:sz w:val="20"/>
          <w:szCs w:val="20"/>
          <w:shd w:val="clear" w:color="auto" w:fill="FFFFFF"/>
        </w:rPr>
        <w:t>I</w:t>
      </w:r>
      <w:r w:rsidRPr="00C41816">
        <w:rPr>
          <w:rFonts w:ascii="Open Sans" w:hAnsi="Open Sans" w:cs="Open Sans"/>
          <w:sz w:val="20"/>
          <w:szCs w:val="20"/>
          <w:shd w:val="clear" w:color="auto" w:fill="FFFFFF"/>
        </w:rPr>
        <w:t xml:space="preserve"> ou seu(s) representante(s) legal(</w:t>
      </w:r>
      <w:proofErr w:type="spellStart"/>
      <w:r w:rsidRPr="00C41816">
        <w:rPr>
          <w:rFonts w:ascii="Open Sans" w:hAnsi="Open Sans" w:cs="Open Sans"/>
          <w:sz w:val="20"/>
          <w:szCs w:val="20"/>
          <w:shd w:val="clear" w:color="auto" w:fill="FFFFFF"/>
        </w:rPr>
        <w:t>is</w:t>
      </w:r>
      <w:proofErr w:type="spellEnd"/>
      <w:r w:rsidRPr="00C41816">
        <w:rPr>
          <w:rFonts w:ascii="Open Sans" w:hAnsi="Open Sans" w:cs="Open Sans"/>
          <w:sz w:val="20"/>
          <w:szCs w:val="20"/>
          <w:shd w:val="clear" w:color="auto" w:fill="FFFFFF"/>
        </w:rPr>
        <w:t>), deverá(</w:t>
      </w:r>
      <w:proofErr w:type="spellStart"/>
      <w:r w:rsidRPr="00C41816">
        <w:rPr>
          <w:rFonts w:ascii="Open Sans" w:hAnsi="Open Sans" w:cs="Open Sans"/>
          <w:sz w:val="20"/>
          <w:szCs w:val="20"/>
          <w:shd w:val="clear" w:color="auto" w:fill="FFFFFF"/>
        </w:rPr>
        <w:t>ão</w:t>
      </w:r>
      <w:proofErr w:type="spellEnd"/>
      <w:r w:rsidRPr="00C41816">
        <w:rPr>
          <w:rFonts w:ascii="Open Sans" w:hAnsi="Open Sans" w:cs="Open Sans"/>
          <w:sz w:val="20"/>
          <w:szCs w:val="20"/>
          <w:shd w:val="clear" w:color="auto" w:fill="FFFFFF"/>
        </w:rPr>
        <w:t xml:space="preserve">) assinar esta Instrução de Voto; e </w:t>
      </w:r>
    </w:p>
    <w:p w14:paraId="1AF753CF" w14:textId="77777777" w:rsidR="00FB0D24" w:rsidRPr="00C41816" w:rsidRDefault="00FB0D24" w:rsidP="00C41816">
      <w:pPr>
        <w:pStyle w:val="Estilo"/>
        <w:jc w:val="both"/>
        <w:rPr>
          <w:rFonts w:ascii="Open Sans" w:hAnsi="Open Sans" w:cs="Open Sans"/>
          <w:sz w:val="20"/>
          <w:szCs w:val="20"/>
          <w:shd w:val="clear" w:color="auto" w:fill="FFFFFF"/>
        </w:rPr>
      </w:pPr>
    </w:p>
    <w:p w14:paraId="1D56FC01" w14:textId="77777777" w:rsidR="00FB0D24" w:rsidRPr="00C41816" w:rsidRDefault="00FB0D24" w:rsidP="00C41816">
      <w:pPr>
        <w:pStyle w:val="Estilo"/>
        <w:numPr>
          <w:ilvl w:val="0"/>
          <w:numId w:val="6"/>
        </w:numPr>
        <w:jc w:val="both"/>
        <w:rPr>
          <w:rFonts w:ascii="Open Sans" w:hAnsi="Open Sans" w:cs="Open Sans"/>
          <w:sz w:val="20"/>
          <w:szCs w:val="20"/>
          <w:shd w:val="clear" w:color="auto" w:fill="FFFFFF"/>
        </w:rPr>
      </w:pPr>
      <w:r w:rsidRPr="00C41816">
        <w:rPr>
          <w:rFonts w:ascii="Open Sans" w:hAnsi="Open Sans" w:cs="Open Sans"/>
          <w:sz w:val="20"/>
          <w:szCs w:val="20"/>
          <w:shd w:val="clear" w:color="auto" w:fill="FFFFFF"/>
        </w:rPr>
        <w:t>a entrega desta Instrução de Voto deverá observar a regulamentação aplicável, assim como as orientações abaixo.</w:t>
      </w:r>
    </w:p>
    <w:p w14:paraId="2D0E67A4" w14:textId="77777777" w:rsidR="00FB0D24" w:rsidRPr="00C41816" w:rsidRDefault="00FB0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Pr="00C41816" w:rsidRDefault="00FB0D24" w:rsidP="00C41816">
      <w:pPr>
        <w:pStyle w:val="Estilo"/>
        <w:jc w:val="both"/>
        <w:rPr>
          <w:rFonts w:ascii="Open Sans" w:hAnsi="Open Sans" w:cs="Open Sans"/>
          <w:sz w:val="20"/>
          <w:szCs w:val="20"/>
          <w:shd w:val="clear" w:color="auto" w:fill="FFFFFF"/>
        </w:rPr>
      </w:pPr>
    </w:p>
    <w:p w14:paraId="5C552B0F" w14:textId="77777777" w:rsidR="00FB0D24" w:rsidRPr="00C41816" w:rsidRDefault="00FB0D24" w:rsidP="00C41816">
      <w:pPr>
        <w:pStyle w:val="Estilo"/>
        <w:jc w:val="both"/>
        <w:rPr>
          <w:rFonts w:ascii="Open Sans" w:hAnsi="Open Sans" w:cs="Open Sans"/>
          <w:b/>
          <w:sz w:val="20"/>
          <w:szCs w:val="20"/>
          <w:shd w:val="clear" w:color="auto" w:fill="FFFFFF"/>
        </w:rPr>
      </w:pPr>
      <w:r w:rsidRPr="00C41816">
        <w:rPr>
          <w:rFonts w:ascii="Open Sans" w:hAnsi="Open Sans" w:cs="Open Sans"/>
          <w:b/>
          <w:sz w:val="20"/>
          <w:szCs w:val="20"/>
          <w:shd w:val="clear" w:color="auto" w:fill="FFFFFF"/>
        </w:rPr>
        <w:t>ORIENTAÇÕES DE ENVIO DA INSTRUÇÃO DE VOTO</w:t>
      </w:r>
    </w:p>
    <w:p w14:paraId="4A61B5AA" w14:textId="77777777" w:rsidR="00FB0D24" w:rsidRPr="00C41816" w:rsidRDefault="00FB0D24" w:rsidP="00C41816">
      <w:pPr>
        <w:pStyle w:val="Estilo"/>
        <w:jc w:val="both"/>
        <w:rPr>
          <w:rFonts w:ascii="Open Sans" w:hAnsi="Open Sans" w:cs="Open Sans"/>
          <w:sz w:val="20"/>
          <w:szCs w:val="20"/>
          <w:shd w:val="clear" w:color="auto" w:fill="FFFFFF"/>
        </w:rPr>
      </w:pPr>
    </w:p>
    <w:p w14:paraId="21832515" w14:textId="391E480A" w:rsidR="00FB0D24" w:rsidRPr="00C41816" w:rsidRDefault="00FB0D24" w:rsidP="00C41816">
      <w:pPr>
        <w:pStyle w:val="Estilo"/>
        <w:jc w:val="both"/>
        <w:rPr>
          <w:rFonts w:ascii="Open Sans" w:hAnsi="Open Sans" w:cs="Open Sans"/>
          <w:sz w:val="20"/>
          <w:szCs w:val="20"/>
          <w:shd w:val="clear" w:color="auto" w:fill="FFFFFF"/>
        </w:rPr>
      </w:pPr>
      <w:r w:rsidRPr="00C41816">
        <w:rPr>
          <w:rFonts w:ascii="Open Sans" w:hAnsi="Open Sans" w:cs="Open Sans"/>
          <w:sz w:val="20"/>
          <w:szCs w:val="20"/>
          <w:shd w:val="clear" w:color="auto" w:fill="FFFFFF"/>
        </w:rPr>
        <w:t>O Titular de CR</w:t>
      </w:r>
      <w:r w:rsidR="00481AC4" w:rsidRPr="00C41816">
        <w:rPr>
          <w:rFonts w:ascii="Open Sans" w:hAnsi="Open Sans" w:cs="Open Sans"/>
          <w:sz w:val="20"/>
          <w:szCs w:val="20"/>
          <w:shd w:val="clear" w:color="auto" w:fill="FFFFFF"/>
        </w:rPr>
        <w:t>I</w:t>
      </w:r>
      <w:r w:rsidRPr="00C41816">
        <w:rPr>
          <w:rFonts w:ascii="Open Sans" w:hAnsi="Open Sans" w:cs="Open Sans"/>
          <w:sz w:val="20"/>
          <w:szCs w:val="20"/>
          <w:shd w:val="clear" w:color="auto" w:fill="FFFFFF"/>
        </w:rPr>
        <w:t xml:space="preserve"> que optar por exercer o seu direito de voto </w:t>
      </w:r>
      <w:r w:rsidR="00207A8F" w:rsidRPr="00C41816">
        <w:rPr>
          <w:rFonts w:ascii="Open Sans" w:hAnsi="Open Sans" w:cs="Open Sans"/>
          <w:sz w:val="20"/>
          <w:szCs w:val="20"/>
          <w:shd w:val="clear" w:color="auto" w:fill="FFFFFF"/>
        </w:rPr>
        <w:t>à</w:t>
      </w:r>
      <w:r w:rsidRPr="00C41816">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C41816" w:rsidRDefault="00FB0D24" w:rsidP="00C41816">
      <w:pPr>
        <w:pStyle w:val="Estilo"/>
        <w:jc w:val="both"/>
        <w:rPr>
          <w:rFonts w:ascii="Open Sans" w:hAnsi="Open Sans" w:cs="Open Sans"/>
          <w:sz w:val="20"/>
          <w:szCs w:val="20"/>
          <w:shd w:val="clear" w:color="auto" w:fill="FFFFFF"/>
        </w:rPr>
      </w:pPr>
    </w:p>
    <w:p w14:paraId="0B9EADF4" w14:textId="77777777" w:rsidR="00FB0D24" w:rsidRPr="00C41816" w:rsidRDefault="00FB0D24" w:rsidP="00C41816">
      <w:pPr>
        <w:pStyle w:val="Estilo"/>
        <w:numPr>
          <w:ilvl w:val="0"/>
          <w:numId w:val="7"/>
        </w:numPr>
        <w:jc w:val="both"/>
        <w:rPr>
          <w:rFonts w:ascii="Open Sans" w:hAnsi="Open Sans" w:cs="Open Sans"/>
          <w:sz w:val="20"/>
          <w:szCs w:val="20"/>
          <w:shd w:val="clear" w:color="auto" w:fill="FFFFFF"/>
        </w:rPr>
      </w:pPr>
      <w:r w:rsidRPr="00C41816">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C41816">
        <w:rPr>
          <w:rFonts w:ascii="Open Sans" w:hAnsi="Open Sans" w:cs="Open Sans"/>
          <w:sz w:val="20"/>
          <w:szCs w:val="20"/>
          <w:shd w:val="clear" w:color="auto" w:fill="FFFFFF"/>
        </w:rPr>
        <w:t>notarização</w:t>
      </w:r>
      <w:proofErr w:type="spellEnd"/>
      <w:r w:rsidRPr="00C41816">
        <w:rPr>
          <w:rFonts w:ascii="Open Sans" w:hAnsi="Open Sans" w:cs="Open Sans"/>
          <w:sz w:val="20"/>
          <w:szCs w:val="20"/>
          <w:shd w:val="clear" w:color="auto" w:fill="FFFFFF"/>
        </w:rPr>
        <w:t xml:space="preserve"> ou consularização na Instrução de Voto.</w:t>
      </w:r>
    </w:p>
    <w:p w14:paraId="61841732" w14:textId="77777777" w:rsidR="00FB0D24" w:rsidRPr="00C41816" w:rsidRDefault="00FB0D24" w:rsidP="00C41816">
      <w:pPr>
        <w:pStyle w:val="Estilo"/>
        <w:jc w:val="both"/>
        <w:rPr>
          <w:rFonts w:ascii="Open Sans" w:hAnsi="Open Sans" w:cs="Open Sans"/>
          <w:sz w:val="20"/>
          <w:szCs w:val="20"/>
          <w:shd w:val="clear" w:color="auto" w:fill="FFFFFF"/>
        </w:rPr>
      </w:pPr>
    </w:p>
    <w:p w14:paraId="237AC3CA" w14:textId="77777777" w:rsidR="00FB0D24" w:rsidRPr="00C41816" w:rsidRDefault="00FB0D24" w:rsidP="00C41816">
      <w:pPr>
        <w:pStyle w:val="Estilo"/>
        <w:numPr>
          <w:ilvl w:val="0"/>
          <w:numId w:val="7"/>
        </w:numPr>
        <w:jc w:val="both"/>
        <w:rPr>
          <w:rFonts w:ascii="Open Sans" w:hAnsi="Open Sans" w:cs="Open Sans"/>
          <w:sz w:val="20"/>
          <w:szCs w:val="20"/>
          <w:shd w:val="clear" w:color="auto" w:fill="FFFFFF"/>
        </w:rPr>
      </w:pPr>
      <w:r w:rsidRPr="00C41816">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C41816" w:rsidRDefault="00FB0D24" w:rsidP="00C41816">
      <w:pPr>
        <w:pStyle w:val="Estilo"/>
        <w:jc w:val="both"/>
        <w:rPr>
          <w:rFonts w:ascii="Open Sans" w:hAnsi="Open Sans" w:cs="Open Sans"/>
          <w:sz w:val="20"/>
          <w:szCs w:val="20"/>
          <w:shd w:val="clear" w:color="auto" w:fill="FFFFFF"/>
        </w:rPr>
      </w:pPr>
    </w:p>
    <w:p w14:paraId="57AE7D2B" w14:textId="7D3A67F6" w:rsidR="00FB0D24" w:rsidRPr="00C41816"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C41816">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C41816">
        <w:rPr>
          <w:rFonts w:ascii="Open Sans" w:hAnsi="Open Sans" w:cs="Open Sans"/>
          <w:sz w:val="20"/>
          <w:szCs w:val="20"/>
          <w:shd w:val="clear" w:color="auto" w:fill="FFFFFF"/>
        </w:rPr>
        <w:t>I</w:t>
      </w:r>
      <w:r w:rsidRPr="00C41816">
        <w:rPr>
          <w:rFonts w:ascii="Open Sans" w:hAnsi="Open Sans" w:cs="Open Sans"/>
          <w:sz w:val="20"/>
          <w:szCs w:val="20"/>
          <w:shd w:val="clear" w:color="auto" w:fill="FFFFFF"/>
        </w:rPr>
        <w:t>; e (3) documento de identidade válido com foto do representante legal; e</w:t>
      </w:r>
    </w:p>
    <w:p w14:paraId="5C04B00A" w14:textId="77777777" w:rsidR="00FB0D24" w:rsidRPr="00C41816" w:rsidRDefault="00FB0D24" w:rsidP="00C41816">
      <w:pPr>
        <w:pStyle w:val="Estilo"/>
        <w:ind w:left="1134" w:hanging="360"/>
        <w:jc w:val="both"/>
        <w:rPr>
          <w:rFonts w:ascii="Open Sans" w:hAnsi="Open Sans" w:cs="Open Sans"/>
          <w:sz w:val="20"/>
          <w:szCs w:val="20"/>
          <w:shd w:val="clear" w:color="auto" w:fill="FFFFFF"/>
        </w:rPr>
      </w:pPr>
    </w:p>
    <w:p w14:paraId="3AE24C2B" w14:textId="2BC0488D" w:rsidR="00FB0D24" w:rsidRPr="00C41816"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C41816">
        <w:rPr>
          <w:rFonts w:ascii="Open Sans" w:hAnsi="Open Sans" w:cs="Open Sans"/>
          <w:sz w:val="20"/>
          <w:szCs w:val="20"/>
          <w:shd w:val="clear" w:color="auto" w:fill="FFFFFF"/>
        </w:rPr>
        <w:t>quando fundo de investimento, (1) último regulamento consolidado do fundo; (2) estatuto ou contrato social do seu administrador ou gestor, conforme o caso, observada a política de voto do fundo e documentos societários que comprovem os poderes de representação em Assembleia Geral de Titulares de CR</w:t>
      </w:r>
      <w:r w:rsidR="00481AC4" w:rsidRPr="00C41816">
        <w:rPr>
          <w:rFonts w:ascii="Open Sans" w:hAnsi="Open Sans" w:cs="Open Sans"/>
          <w:sz w:val="20"/>
          <w:szCs w:val="20"/>
          <w:shd w:val="clear" w:color="auto" w:fill="FFFFFF"/>
        </w:rPr>
        <w:t>I</w:t>
      </w:r>
      <w:r w:rsidRPr="00C41816">
        <w:rPr>
          <w:rFonts w:ascii="Open Sans" w:hAnsi="Open Sans" w:cs="Open Sans"/>
          <w:sz w:val="20"/>
          <w:szCs w:val="20"/>
          <w:shd w:val="clear" w:color="auto" w:fill="FFFFFF"/>
        </w:rPr>
        <w:t>; e (3) documento de identidade válido com foto do representante legal.</w:t>
      </w:r>
    </w:p>
    <w:p w14:paraId="1690F3FA" w14:textId="77777777" w:rsidR="00FB0D24" w:rsidRPr="00C41816" w:rsidRDefault="00FB0D24" w:rsidP="00C41816">
      <w:pPr>
        <w:pStyle w:val="Estilo"/>
        <w:jc w:val="both"/>
        <w:rPr>
          <w:rFonts w:ascii="Open Sans" w:hAnsi="Open Sans" w:cs="Open Sans"/>
          <w:sz w:val="20"/>
          <w:szCs w:val="20"/>
          <w:shd w:val="clear" w:color="auto" w:fill="FFFFFF"/>
        </w:rPr>
      </w:pPr>
    </w:p>
    <w:p w14:paraId="51EC75F1" w14:textId="77777777" w:rsidR="00FB0D24" w:rsidRPr="00C41816" w:rsidRDefault="00FB0D24" w:rsidP="00C41816">
      <w:pPr>
        <w:pStyle w:val="Estilo"/>
        <w:jc w:val="both"/>
        <w:rPr>
          <w:rFonts w:ascii="Open Sans" w:hAnsi="Open Sans" w:cs="Open Sans"/>
          <w:sz w:val="20"/>
          <w:szCs w:val="20"/>
          <w:shd w:val="clear" w:color="auto" w:fill="FFFFFF"/>
        </w:rPr>
      </w:pPr>
      <w:r w:rsidRPr="00C41816">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C41816">
        <w:rPr>
          <w:rFonts w:ascii="Open Sans" w:hAnsi="Open Sans" w:cs="Open Sans"/>
          <w:sz w:val="20"/>
          <w:szCs w:val="20"/>
        </w:rPr>
        <w:t xml:space="preserve">48 (quarenta e oito) horas </w:t>
      </w:r>
      <w:r w:rsidRPr="00C41816">
        <w:rPr>
          <w:rFonts w:ascii="Open Sans" w:hAnsi="Open Sans" w:cs="Open Sans"/>
          <w:sz w:val="20"/>
          <w:szCs w:val="20"/>
          <w:shd w:val="clear" w:color="auto" w:fill="FFFFFF"/>
        </w:rPr>
        <w:t xml:space="preserve">antes da realização da Assembleia. </w:t>
      </w:r>
    </w:p>
    <w:p w14:paraId="77757A43" w14:textId="77777777" w:rsidR="00FB0D24" w:rsidRPr="00C41816" w:rsidRDefault="00FB0D24" w:rsidP="00C41816">
      <w:pPr>
        <w:pStyle w:val="Estilo"/>
        <w:jc w:val="both"/>
        <w:rPr>
          <w:rFonts w:ascii="Open Sans" w:hAnsi="Open Sans" w:cs="Open Sans"/>
          <w:sz w:val="20"/>
          <w:szCs w:val="20"/>
          <w:shd w:val="clear" w:color="auto" w:fill="FFFFFF"/>
        </w:rPr>
      </w:pPr>
    </w:p>
    <w:p w14:paraId="70E042C4" w14:textId="431F652E" w:rsidR="00FB0D24" w:rsidRPr="00C41816" w:rsidRDefault="00FB0D24" w:rsidP="00C41816">
      <w:pPr>
        <w:pStyle w:val="Estilo"/>
        <w:jc w:val="both"/>
        <w:rPr>
          <w:rFonts w:ascii="Open Sans" w:hAnsi="Open Sans" w:cs="Open Sans"/>
          <w:sz w:val="20"/>
          <w:szCs w:val="20"/>
          <w:shd w:val="clear" w:color="auto" w:fill="FFFFFF"/>
        </w:rPr>
      </w:pPr>
      <w:r w:rsidRPr="00C41816">
        <w:rPr>
          <w:rFonts w:ascii="Open Sans" w:hAnsi="Open Sans" w:cs="Open Sans"/>
          <w:sz w:val="20"/>
          <w:szCs w:val="20"/>
          <w:shd w:val="clear" w:color="auto" w:fill="FFFFFF"/>
        </w:rPr>
        <w:t>Caso a Emissora e o Agente Fiduciário recebam mais de uma Instrução de Voto do mesmo Titular de CR</w:t>
      </w:r>
      <w:r w:rsidR="00481AC4" w:rsidRPr="00C41816">
        <w:rPr>
          <w:rFonts w:ascii="Open Sans" w:hAnsi="Open Sans" w:cs="Open Sans"/>
          <w:sz w:val="20"/>
          <w:szCs w:val="20"/>
          <w:shd w:val="clear" w:color="auto" w:fill="FFFFFF"/>
        </w:rPr>
        <w:t>I</w:t>
      </w:r>
      <w:r w:rsidRPr="00C41816">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C41816">
        <w:rPr>
          <w:rFonts w:ascii="Open Sans" w:hAnsi="Open Sans" w:cs="Open Sans"/>
          <w:sz w:val="20"/>
          <w:szCs w:val="20"/>
          <w:shd w:val="clear" w:color="auto" w:fill="FFFFFF"/>
        </w:rPr>
        <w:t>I</w:t>
      </w:r>
      <w:r w:rsidRPr="00C41816">
        <w:rPr>
          <w:rFonts w:ascii="Open Sans" w:hAnsi="Open Sans" w:cs="Open Sans"/>
          <w:sz w:val="20"/>
          <w:szCs w:val="20"/>
          <w:shd w:val="clear" w:color="auto" w:fill="FFFFFF"/>
        </w:rPr>
        <w:t xml:space="preserve">. </w:t>
      </w:r>
    </w:p>
    <w:p w14:paraId="666E3EBB" w14:textId="77777777" w:rsidR="00FB0D24" w:rsidRPr="00C41816" w:rsidRDefault="00FB0D24" w:rsidP="00C41816">
      <w:pPr>
        <w:pStyle w:val="Estilo"/>
        <w:jc w:val="both"/>
        <w:rPr>
          <w:rFonts w:ascii="Open Sans" w:hAnsi="Open Sans" w:cs="Open Sans"/>
          <w:sz w:val="20"/>
          <w:szCs w:val="20"/>
          <w:shd w:val="clear" w:color="auto" w:fill="FFFFFF"/>
        </w:rPr>
      </w:pPr>
    </w:p>
    <w:p w14:paraId="2E696A92" w14:textId="77777777" w:rsidR="00FB0D24" w:rsidRPr="00C41816" w:rsidRDefault="00FB0D24" w:rsidP="00C41816">
      <w:pPr>
        <w:pStyle w:val="Estilo"/>
        <w:jc w:val="both"/>
        <w:rPr>
          <w:rFonts w:ascii="Open Sans" w:hAnsi="Open Sans" w:cs="Open Sans"/>
          <w:sz w:val="20"/>
          <w:szCs w:val="20"/>
          <w:shd w:val="clear" w:color="auto" w:fill="FFFFFF"/>
        </w:rPr>
      </w:pPr>
      <w:r w:rsidRPr="00C41816">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C41816" w:rsidRDefault="00FB0D24" w:rsidP="00C41816">
      <w:pPr>
        <w:pStyle w:val="Estilo"/>
        <w:jc w:val="both"/>
        <w:rPr>
          <w:rFonts w:ascii="Open Sans" w:hAnsi="Open Sans" w:cs="Open Sans"/>
          <w:sz w:val="20"/>
          <w:szCs w:val="20"/>
          <w:shd w:val="clear" w:color="auto" w:fill="FFFFFF"/>
        </w:rPr>
      </w:pPr>
    </w:p>
    <w:p w14:paraId="750D1C56" w14:textId="77777777" w:rsidR="00FB0D24" w:rsidRPr="00C41816" w:rsidRDefault="00FB0D24" w:rsidP="00C41816">
      <w:pPr>
        <w:pStyle w:val="Estilo"/>
        <w:jc w:val="both"/>
        <w:rPr>
          <w:rFonts w:ascii="Open Sans" w:hAnsi="Open Sans" w:cs="Open Sans"/>
          <w:sz w:val="20"/>
          <w:szCs w:val="20"/>
          <w:shd w:val="clear" w:color="auto" w:fill="FFFFFF"/>
        </w:rPr>
      </w:pPr>
      <w:r w:rsidRPr="00C41816">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C41816" w:rsidRDefault="00FB0D24" w:rsidP="00C41816">
      <w:pPr>
        <w:pStyle w:val="Estilo"/>
        <w:jc w:val="both"/>
        <w:rPr>
          <w:rFonts w:ascii="Open Sans" w:hAnsi="Open Sans" w:cs="Open Sans"/>
          <w:sz w:val="20"/>
          <w:szCs w:val="20"/>
          <w:shd w:val="clear" w:color="auto" w:fill="FFFFFF"/>
        </w:rPr>
      </w:pPr>
    </w:p>
    <w:p w14:paraId="4048E6F6" w14:textId="3DA6FD19" w:rsidR="00FB0D24" w:rsidRPr="00C41816" w:rsidRDefault="00FB0D24" w:rsidP="00C41816">
      <w:pPr>
        <w:pStyle w:val="Estilo"/>
        <w:jc w:val="both"/>
        <w:rPr>
          <w:rFonts w:ascii="Open Sans" w:hAnsi="Open Sans" w:cs="Open Sans"/>
          <w:sz w:val="20"/>
          <w:szCs w:val="20"/>
          <w:shd w:val="clear" w:color="auto" w:fill="FFFFFF"/>
        </w:rPr>
      </w:pPr>
      <w:r w:rsidRPr="00C41816">
        <w:rPr>
          <w:rFonts w:ascii="Open Sans" w:hAnsi="Open Sans" w:cs="Open Sans"/>
          <w:sz w:val="20"/>
          <w:szCs w:val="20"/>
          <w:shd w:val="clear" w:color="auto" w:fill="FFFFFF"/>
        </w:rPr>
        <w:t>O Titular de CR</w:t>
      </w:r>
      <w:r w:rsidR="00481AC4" w:rsidRPr="00C41816">
        <w:rPr>
          <w:rFonts w:ascii="Open Sans" w:hAnsi="Open Sans" w:cs="Open Sans"/>
          <w:sz w:val="20"/>
          <w:szCs w:val="20"/>
          <w:shd w:val="clear" w:color="auto" w:fill="FFFFFF"/>
        </w:rPr>
        <w:t>I</w:t>
      </w:r>
      <w:r w:rsidRPr="00C41816">
        <w:rPr>
          <w:rFonts w:ascii="Open Sans" w:hAnsi="Open Sans" w:cs="Open Sans"/>
          <w:sz w:val="20"/>
          <w:szCs w:val="20"/>
          <w:shd w:val="clear" w:color="auto" w:fill="FFFFFF"/>
        </w:rPr>
        <w:t xml:space="preserve"> que fizer o envio da Instrução de Voto e esta for considerada válida não precisará acessar o </w:t>
      </w:r>
      <w:r w:rsidRPr="00C41816">
        <w:rPr>
          <w:rFonts w:ascii="Open Sans" w:hAnsi="Open Sans" w:cs="Open Sans"/>
          <w:i/>
          <w:iCs/>
          <w:sz w:val="20"/>
          <w:szCs w:val="20"/>
          <w:shd w:val="clear" w:color="auto" w:fill="FFFFFF"/>
        </w:rPr>
        <w:t>link</w:t>
      </w:r>
      <w:r w:rsidRPr="00C41816">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3º, § 4º, inciso I, da Instrução CVM 625. Contudo, será desconsiderada a Instrução de Voto anteriormente enviada por tal Titular de CR</w:t>
      </w:r>
      <w:r w:rsidR="00481AC4" w:rsidRPr="00C41816">
        <w:rPr>
          <w:rFonts w:ascii="Open Sans" w:hAnsi="Open Sans" w:cs="Open Sans"/>
          <w:sz w:val="20"/>
          <w:szCs w:val="20"/>
          <w:shd w:val="clear" w:color="auto" w:fill="FFFFFF"/>
        </w:rPr>
        <w:t>I</w:t>
      </w:r>
      <w:r w:rsidRPr="00C41816">
        <w:rPr>
          <w:rFonts w:ascii="Open Sans" w:hAnsi="Open Sans" w:cs="Open Sans"/>
          <w:sz w:val="20"/>
          <w:szCs w:val="20"/>
          <w:shd w:val="clear" w:color="auto" w:fill="FFFFFF"/>
        </w:rPr>
        <w:t xml:space="preserve"> ou por seu representante legal caso estes participem da Assembleia através de acesso ao </w:t>
      </w:r>
      <w:r w:rsidRPr="00C41816">
        <w:rPr>
          <w:rFonts w:ascii="Open Sans" w:hAnsi="Open Sans" w:cs="Open Sans"/>
          <w:i/>
          <w:iCs/>
          <w:sz w:val="20"/>
          <w:szCs w:val="20"/>
          <w:shd w:val="clear" w:color="auto" w:fill="FFFFFF"/>
        </w:rPr>
        <w:t>link</w:t>
      </w:r>
      <w:r w:rsidRPr="00C41816">
        <w:rPr>
          <w:rFonts w:ascii="Open Sans" w:hAnsi="Open Sans" w:cs="Open Sans"/>
          <w:sz w:val="20"/>
          <w:szCs w:val="20"/>
          <w:shd w:val="clear" w:color="auto" w:fill="FFFFFF"/>
        </w:rPr>
        <w:t xml:space="preserve"> e, cumulativamente, manifestem seu voto no ato de realização da Assembleia, conforme disposto no artigo 3º, § 4º, inciso II, no artigo 7º, § 1º, e no artigo 9º, inciso I, todos da Instrução CVM 625. </w:t>
      </w:r>
    </w:p>
    <w:p w14:paraId="47D14F52" w14:textId="77777777" w:rsidR="00FB0D24" w:rsidRPr="00C41816" w:rsidRDefault="00FB0D24" w:rsidP="00C41816">
      <w:pPr>
        <w:pStyle w:val="Estilo"/>
        <w:jc w:val="both"/>
        <w:rPr>
          <w:rFonts w:ascii="Open Sans" w:hAnsi="Open Sans" w:cs="Open Sans"/>
          <w:sz w:val="20"/>
          <w:szCs w:val="20"/>
          <w:shd w:val="clear" w:color="auto" w:fill="FFFFFF"/>
        </w:rPr>
      </w:pPr>
    </w:p>
    <w:p w14:paraId="563F4170" w14:textId="77777777" w:rsidR="00E01E0D" w:rsidRPr="00C41816" w:rsidRDefault="00FB0D24" w:rsidP="00C41816">
      <w:pPr>
        <w:pStyle w:val="Estilo"/>
        <w:jc w:val="both"/>
        <w:rPr>
          <w:rFonts w:ascii="Open Sans" w:hAnsi="Open Sans" w:cs="Open Sans"/>
          <w:sz w:val="20"/>
          <w:szCs w:val="20"/>
          <w:shd w:val="clear" w:color="auto" w:fill="FFFFFF"/>
        </w:rPr>
      </w:pPr>
      <w:r w:rsidRPr="00C41816">
        <w:rPr>
          <w:rFonts w:ascii="Open Sans" w:hAnsi="Open Sans" w:cs="Open Sans"/>
          <w:sz w:val="20"/>
          <w:szCs w:val="20"/>
          <w:shd w:val="clear" w:color="auto" w:fill="FFFFFF"/>
        </w:rPr>
        <w:t>A Emissora coloca-se à disposição para prestar quaisquer esclarecimentos adicionais que se façam necessários.</w:t>
      </w:r>
      <w:r w:rsidR="00A964AD" w:rsidRPr="00C41816">
        <w:rPr>
          <w:rFonts w:ascii="Open Sans" w:hAnsi="Open Sans" w:cs="Open Sans"/>
          <w:sz w:val="20"/>
          <w:szCs w:val="20"/>
          <w:shd w:val="clear" w:color="auto" w:fill="FFFFFF"/>
        </w:rPr>
        <w:t xml:space="preserve"> </w:t>
      </w:r>
    </w:p>
    <w:p w14:paraId="475DEFC5" w14:textId="77777777" w:rsidR="00E01E0D" w:rsidRPr="00C41816" w:rsidRDefault="00E01E0D" w:rsidP="00C41816">
      <w:pPr>
        <w:pStyle w:val="Estilo"/>
        <w:jc w:val="both"/>
        <w:rPr>
          <w:rFonts w:ascii="Open Sans" w:hAnsi="Open Sans" w:cs="Open Sans"/>
          <w:sz w:val="20"/>
          <w:szCs w:val="20"/>
          <w:shd w:val="clear" w:color="auto" w:fill="FFFFFF"/>
        </w:rPr>
      </w:pPr>
    </w:p>
    <w:p w14:paraId="5E83B002" w14:textId="53BE5208" w:rsidR="008C3134" w:rsidRPr="00C41816" w:rsidRDefault="00FB0D24" w:rsidP="00C41816">
      <w:pPr>
        <w:pStyle w:val="Estilo"/>
        <w:jc w:val="center"/>
        <w:rPr>
          <w:rFonts w:ascii="Open Sans" w:hAnsi="Open Sans" w:cs="Open Sans"/>
          <w:sz w:val="20"/>
          <w:szCs w:val="20"/>
        </w:rPr>
      </w:pPr>
      <w:r w:rsidRPr="00C41816">
        <w:rPr>
          <w:rFonts w:ascii="Open Sans" w:hAnsi="Open Sans" w:cs="Open Sans"/>
          <w:sz w:val="20"/>
          <w:szCs w:val="20"/>
          <w:shd w:val="clear" w:color="auto" w:fill="FFFFFF"/>
        </w:rPr>
        <w:t>* * * * *</w:t>
      </w:r>
    </w:p>
    <w:sectPr w:rsidR="008C3134" w:rsidRPr="00C41816" w:rsidSect="002408B2">
      <w:headerReference w:type="default" r:id="rId10"/>
      <w:footerReference w:type="default" r:id="rId11"/>
      <w:headerReference w:type="first" r:id="rId12"/>
      <w:footerReference w:type="first" r:id="rId13"/>
      <w:pgSz w:w="11900" w:h="16840"/>
      <w:pgMar w:top="1417" w:right="1701" w:bottom="1417" w:left="1701" w:header="397" w:footer="2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26F35" w14:textId="77777777" w:rsidR="00C01C0E" w:rsidRDefault="00C01C0E" w:rsidP="00421DD1">
      <w:r>
        <w:separator/>
      </w:r>
    </w:p>
  </w:endnote>
  <w:endnote w:type="continuationSeparator" w:id="0">
    <w:p w14:paraId="4341AA75" w14:textId="77777777" w:rsidR="00C01C0E" w:rsidRDefault="00C01C0E"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Interstate-Light">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EC18" w14:textId="1704591D" w:rsidR="00AC6D95" w:rsidRDefault="00AC6D95">
    <w:pPr>
      <w:pStyle w:val="Rodap"/>
    </w:pPr>
    <w:r>
      <w:rPr>
        <w:noProof/>
        <w:lang w:eastAsia="pt-BR"/>
      </w:rPr>
      <w:drawing>
        <wp:anchor distT="0" distB="0" distL="114300" distR="114300" simplePos="0" relativeHeight="251667456" behindDoc="0" locked="0" layoutInCell="1" allowOverlap="1" wp14:anchorId="1CDB783E" wp14:editId="2AA099AC">
          <wp:simplePos x="0" y="0"/>
          <wp:positionH relativeFrom="margin">
            <wp:posOffset>0</wp:posOffset>
          </wp:positionH>
          <wp:positionV relativeFrom="paragraph">
            <wp:posOffset>176530</wp:posOffset>
          </wp:positionV>
          <wp:extent cx="2287905" cy="571500"/>
          <wp:effectExtent l="0" t="0" r="0" b="12700"/>
          <wp:wrapSquare wrapText="bothSides"/>
          <wp:docPr id="28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Rodape_Jordan.jpg"/>
                  <pic:cNvPicPr/>
                </pic:nvPicPr>
                <pic:blipFill>
                  <a:blip r:embed="rId1">
                    <a:extLst>
                      <a:ext uri="{28A0092B-C50C-407E-A947-70E740481C1C}">
                        <a14:useLocalDpi xmlns:a14="http://schemas.microsoft.com/office/drawing/2010/main" val="0"/>
                      </a:ext>
                    </a:extLst>
                  </a:blip>
                  <a:stretch>
                    <a:fillRect/>
                  </a:stretch>
                </pic:blipFill>
                <pic:spPr>
                  <a:xfrm>
                    <a:off x="0" y="0"/>
                    <a:ext cx="228790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45C6" w14:textId="4E566076" w:rsidR="00A646AF" w:rsidRDefault="003854BB">
    <w:pPr>
      <w:pStyle w:val="Rodap"/>
    </w:pPr>
    <w:r>
      <w:rPr>
        <w:noProof/>
        <w:lang w:eastAsia="pt-BR"/>
      </w:rPr>
      <w:drawing>
        <wp:anchor distT="0" distB="0" distL="114300" distR="114300" simplePos="0" relativeHeight="251661312" behindDoc="0" locked="0" layoutInCell="1" allowOverlap="1" wp14:anchorId="45E8B569" wp14:editId="0C08863A">
          <wp:simplePos x="0" y="0"/>
          <wp:positionH relativeFrom="margin">
            <wp:posOffset>7962</wp:posOffset>
          </wp:positionH>
          <wp:positionV relativeFrom="paragraph">
            <wp:posOffset>308610</wp:posOffset>
          </wp:positionV>
          <wp:extent cx="2287905" cy="571500"/>
          <wp:effectExtent l="0" t="0" r="0" b="12700"/>
          <wp:wrapSquare wrapText="bothSides"/>
          <wp:docPr id="28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Rodape_Jordan.jpg"/>
                  <pic:cNvPicPr/>
                </pic:nvPicPr>
                <pic:blipFill>
                  <a:blip r:embed="rId1">
                    <a:extLst>
                      <a:ext uri="{28A0092B-C50C-407E-A947-70E740481C1C}">
                        <a14:useLocalDpi xmlns:a14="http://schemas.microsoft.com/office/drawing/2010/main" val="0"/>
                      </a:ext>
                    </a:extLst>
                  </a:blip>
                  <a:stretch>
                    <a:fillRect/>
                  </a:stretch>
                </pic:blipFill>
                <pic:spPr>
                  <a:xfrm>
                    <a:off x="0" y="0"/>
                    <a:ext cx="228790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DA505" w14:textId="77777777" w:rsidR="00C01C0E" w:rsidRDefault="00C01C0E" w:rsidP="00421DD1">
      <w:r>
        <w:separator/>
      </w:r>
    </w:p>
  </w:footnote>
  <w:footnote w:type="continuationSeparator" w:id="0">
    <w:p w14:paraId="6C53E063" w14:textId="77777777" w:rsidR="00C01C0E" w:rsidRDefault="00C01C0E"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3C1A" w14:textId="7DD2280C" w:rsidR="003854BB" w:rsidRDefault="00F80A5F" w:rsidP="003854BB">
    <w:pPr>
      <w:pStyle w:val="Cabealho"/>
      <w:tabs>
        <w:tab w:val="clear" w:pos="4320"/>
        <w:tab w:val="clear" w:pos="8640"/>
        <w:tab w:val="left" w:pos="2677"/>
      </w:tabs>
    </w:pPr>
    <w:r>
      <w:tab/>
    </w:r>
  </w:p>
  <w:p w14:paraId="33F5DDA7" w14:textId="6F53D2FD" w:rsidR="000604A2" w:rsidRDefault="003854BB" w:rsidP="003854BB">
    <w:pPr>
      <w:pStyle w:val="Cabealho"/>
      <w:tabs>
        <w:tab w:val="clear" w:pos="4320"/>
        <w:tab w:val="clear" w:pos="8640"/>
        <w:tab w:val="left" w:pos="1971"/>
      </w:tabs>
    </w:pPr>
    <w:r>
      <w:rPr>
        <w:noProof/>
        <w:lang w:eastAsia="pt-BR"/>
      </w:rPr>
      <w:drawing>
        <wp:anchor distT="0" distB="0" distL="114300" distR="114300" simplePos="0" relativeHeight="251665408" behindDoc="0" locked="0" layoutInCell="1" allowOverlap="1" wp14:anchorId="01B69544" wp14:editId="548904CE">
          <wp:simplePos x="0" y="0"/>
          <wp:positionH relativeFrom="margin">
            <wp:posOffset>-145581</wp:posOffset>
          </wp:positionH>
          <wp:positionV relativeFrom="margin">
            <wp:posOffset>-1010285</wp:posOffset>
          </wp:positionV>
          <wp:extent cx="2101215" cy="581025"/>
          <wp:effectExtent l="0" t="0" r="6985" b="3175"/>
          <wp:wrapSquare wrapText="bothSides"/>
          <wp:docPr id="28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drigues_Jordan.png"/>
                  <pic:cNvPicPr/>
                </pic:nvPicPr>
                <pic:blipFill>
                  <a:blip r:embed="rId1">
                    <a:extLst>
                      <a:ext uri="{28A0092B-C50C-407E-A947-70E740481C1C}">
                        <a14:useLocalDpi xmlns:a14="http://schemas.microsoft.com/office/drawing/2010/main" val="0"/>
                      </a:ext>
                    </a:extLst>
                  </a:blip>
                  <a:stretch>
                    <a:fillRect/>
                  </a:stretch>
                </pic:blipFill>
                <pic:spPr>
                  <a:xfrm>
                    <a:off x="0" y="0"/>
                    <a:ext cx="2101215" cy="581025"/>
                  </a:xfrm>
                  <a:prstGeom prst="rect">
                    <a:avLst/>
                  </a:prstGeom>
                </pic:spPr>
              </pic:pic>
            </a:graphicData>
          </a:graphic>
          <wp14:sizeRelH relativeFrom="margin">
            <wp14:pctWidth>0</wp14:pctWidth>
          </wp14:sizeRelH>
          <wp14:sizeRelV relativeFrom="margin">
            <wp14:pctHeight>0</wp14:pctHeight>
          </wp14:sizeRelV>
        </wp:anchor>
      </w:drawing>
    </w:r>
  </w:p>
  <w:p w14:paraId="7A452323" w14:textId="1B1C5461" w:rsidR="000604A2" w:rsidRDefault="000604A2" w:rsidP="00421DD1">
    <w:pPr>
      <w:pStyle w:val="Cabealho"/>
    </w:pPr>
  </w:p>
  <w:p w14:paraId="4961DCE4" w14:textId="1BF7A554" w:rsidR="000604A2" w:rsidRDefault="000604A2" w:rsidP="00421DD1">
    <w:pPr>
      <w:pStyle w:val="Cabealho"/>
    </w:pPr>
  </w:p>
  <w:p w14:paraId="4A63F550" w14:textId="77777777" w:rsidR="000604A2" w:rsidRDefault="000604A2" w:rsidP="00421DD1">
    <w:pPr>
      <w:pStyle w:val="Cabealho"/>
    </w:pPr>
  </w:p>
  <w:p w14:paraId="77C6D9C6" w14:textId="77777777" w:rsidR="000604A2" w:rsidRDefault="000604A2" w:rsidP="00421DD1">
    <w:pPr>
      <w:pStyle w:val="Cabealho"/>
    </w:pPr>
  </w:p>
  <w:p w14:paraId="29BAC356" w14:textId="38546909" w:rsidR="00A646AF" w:rsidRDefault="00A646AF" w:rsidP="00421DD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DD98" w14:textId="6C08F38B" w:rsidR="00A646AF" w:rsidRDefault="001D2B7F">
    <w:pPr>
      <w:pStyle w:val="Cabealho"/>
    </w:pPr>
    <w:r>
      <w:rPr>
        <w:noProof/>
        <w:lang w:eastAsia="pt-BR"/>
      </w:rPr>
      <w:drawing>
        <wp:anchor distT="0" distB="0" distL="114300" distR="114300" simplePos="0" relativeHeight="251663360" behindDoc="0" locked="0" layoutInCell="1" allowOverlap="1" wp14:anchorId="4E2401A2" wp14:editId="74B3D34C">
          <wp:simplePos x="0" y="0"/>
          <wp:positionH relativeFrom="margin">
            <wp:posOffset>-668655</wp:posOffset>
          </wp:positionH>
          <wp:positionV relativeFrom="margin">
            <wp:posOffset>-1008702</wp:posOffset>
          </wp:positionV>
          <wp:extent cx="2101215" cy="581025"/>
          <wp:effectExtent l="0" t="0" r="0" b="9525"/>
          <wp:wrapSquare wrapText="bothSides"/>
          <wp:docPr id="28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drigues_Jordan.png"/>
                  <pic:cNvPicPr/>
                </pic:nvPicPr>
                <pic:blipFill>
                  <a:blip r:embed="rId1">
                    <a:extLst>
                      <a:ext uri="{28A0092B-C50C-407E-A947-70E740481C1C}">
                        <a14:useLocalDpi xmlns:a14="http://schemas.microsoft.com/office/drawing/2010/main" val="0"/>
                      </a:ext>
                    </a:extLst>
                  </a:blip>
                  <a:stretch>
                    <a:fillRect/>
                  </a:stretch>
                </pic:blipFill>
                <pic:spPr>
                  <a:xfrm>
                    <a:off x="0" y="0"/>
                    <a:ext cx="2101215" cy="581025"/>
                  </a:xfrm>
                  <a:prstGeom prst="rect">
                    <a:avLst/>
                  </a:prstGeom>
                </pic:spPr>
              </pic:pic>
            </a:graphicData>
          </a:graphic>
          <wp14:sizeRelH relativeFrom="margin">
            <wp14:pctWidth>0</wp14:pctWidth>
          </wp14:sizeRelH>
          <wp14:sizeRelV relativeFrom="margin">
            <wp14:pctHeight>0</wp14:pctHeight>
          </wp14:sizeRelV>
        </wp:anchor>
      </w:drawing>
    </w:r>
  </w:p>
  <w:p w14:paraId="7387E808" w14:textId="48D344F3" w:rsidR="00A646AF" w:rsidRDefault="00CB2856" w:rsidP="00CB2856">
    <w:pPr>
      <w:pStyle w:val="Cabealho"/>
      <w:tabs>
        <w:tab w:val="clear" w:pos="4320"/>
        <w:tab w:val="clear" w:pos="8640"/>
        <w:tab w:val="left" w:pos="1971"/>
      </w:tabs>
    </w:pPr>
    <w:r>
      <w:tab/>
    </w:r>
  </w:p>
  <w:p w14:paraId="3FDD769D" w14:textId="7A0C3EFA" w:rsidR="00A646AF" w:rsidRDefault="000604A2" w:rsidP="000604A2">
    <w:pPr>
      <w:pStyle w:val="Cabealho"/>
      <w:tabs>
        <w:tab w:val="clear" w:pos="4320"/>
        <w:tab w:val="clear" w:pos="8640"/>
        <w:tab w:val="left" w:pos="2276"/>
      </w:tabs>
    </w:pPr>
    <w:r>
      <w:tab/>
    </w:r>
  </w:p>
  <w:p w14:paraId="67C7EA9E" w14:textId="5062806C" w:rsidR="00A646AF" w:rsidRDefault="00A646AF">
    <w:pPr>
      <w:pStyle w:val="Cabealho"/>
    </w:pPr>
  </w:p>
  <w:p w14:paraId="1096B829" w14:textId="77777777" w:rsidR="000604A2" w:rsidRDefault="000604A2">
    <w:pPr>
      <w:pStyle w:val="Cabealho"/>
    </w:pPr>
  </w:p>
  <w:p w14:paraId="0264F36B" w14:textId="77777777" w:rsidR="005B671D" w:rsidRDefault="005B671D">
    <w:pPr>
      <w:pStyle w:val="Cabealho"/>
    </w:pPr>
  </w:p>
  <w:p w14:paraId="6161EDD5" w14:textId="77777777" w:rsidR="00A646AF" w:rsidRPr="000604A2" w:rsidRDefault="00A646AF">
    <w:pPr>
      <w:pStyle w:val="Cabealho"/>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5"/>
  </w:num>
  <w:num w:numId="2">
    <w:abstractNumId w:val="7"/>
  </w:num>
  <w:num w:numId="3">
    <w:abstractNumId w:val="4"/>
    <w:lvlOverride w:ilvl="0">
      <w:lvl w:ilvl="0">
        <w:numFmt w:val="decimal"/>
        <w:lvlText w:val="%1."/>
        <w:lvlJc w:val="left"/>
      </w:lvl>
    </w:lvlOverride>
  </w:num>
  <w:num w:numId="4">
    <w:abstractNumId w:val="9"/>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num>
  <w:num w:numId="7">
    <w:abstractNumId w:val="1"/>
  </w:num>
  <w:num w:numId="8">
    <w:abstractNumId w:val="1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654"/>
    <w:rsid w:val="000334DF"/>
    <w:rsid w:val="000604A2"/>
    <w:rsid w:val="000B7506"/>
    <w:rsid w:val="000F505D"/>
    <w:rsid w:val="000F62F0"/>
    <w:rsid w:val="00107AB4"/>
    <w:rsid w:val="001626E6"/>
    <w:rsid w:val="001833FF"/>
    <w:rsid w:val="001B6CCE"/>
    <w:rsid w:val="001D2B7F"/>
    <w:rsid w:val="001E3E7C"/>
    <w:rsid w:val="001F020C"/>
    <w:rsid w:val="00207A8F"/>
    <w:rsid w:val="002408B2"/>
    <w:rsid w:val="0024169B"/>
    <w:rsid w:val="00287D67"/>
    <w:rsid w:val="00300504"/>
    <w:rsid w:val="00352FD7"/>
    <w:rsid w:val="003854BB"/>
    <w:rsid w:val="003E46A9"/>
    <w:rsid w:val="00407DC5"/>
    <w:rsid w:val="00420E3A"/>
    <w:rsid w:val="00421DD1"/>
    <w:rsid w:val="00481AC4"/>
    <w:rsid w:val="00483DFE"/>
    <w:rsid w:val="005350A6"/>
    <w:rsid w:val="00545A99"/>
    <w:rsid w:val="0059614C"/>
    <w:rsid w:val="005A08C8"/>
    <w:rsid w:val="005B671D"/>
    <w:rsid w:val="005B76D0"/>
    <w:rsid w:val="005C019D"/>
    <w:rsid w:val="005F43DF"/>
    <w:rsid w:val="005F778A"/>
    <w:rsid w:val="00607502"/>
    <w:rsid w:val="006501DC"/>
    <w:rsid w:val="00650D59"/>
    <w:rsid w:val="006866FD"/>
    <w:rsid w:val="006C7A91"/>
    <w:rsid w:val="006F1735"/>
    <w:rsid w:val="00711F1A"/>
    <w:rsid w:val="0079733C"/>
    <w:rsid w:val="007E6EBF"/>
    <w:rsid w:val="007F5A7D"/>
    <w:rsid w:val="008012BE"/>
    <w:rsid w:val="008139B6"/>
    <w:rsid w:val="00840295"/>
    <w:rsid w:val="0086322A"/>
    <w:rsid w:val="00871DF6"/>
    <w:rsid w:val="008C3134"/>
    <w:rsid w:val="009238FF"/>
    <w:rsid w:val="009C14A5"/>
    <w:rsid w:val="009D17C4"/>
    <w:rsid w:val="009E776C"/>
    <w:rsid w:val="009F41DB"/>
    <w:rsid w:val="00A646AF"/>
    <w:rsid w:val="00A964AD"/>
    <w:rsid w:val="00AA7020"/>
    <w:rsid w:val="00AC6D95"/>
    <w:rsid w:val="00AF29D9"/>
    <w:rsid w:val="00B0580D"/>
    <w:rsid w:val="00B4515C"/>
    <w:rsid w:val="00B70208"/>
    <w:rsid w:val="00B715C6"/>
    <w:rsid w:val="00BA27A0"/>
    <w:rsid w:val="00BC2FE8"/>
    <w:rsid w:val="00BC543A"/>
    <w:rsid w:val="00BF0670"/>
    <w:rsid w:val="00C01C0E"/>
    <w:rsid w:val="00C41816"/>
    <w:rsid w:val="00CA6105"/>
    <w:rsid w:val="00CB2856"/>
    <w:rsid w:val="00CF7875"/>
    <w:rsid w:val="00D30CA2"/>
    <w:rsid w:val="00D92C2E"/>
    <w:rsid w:val="00D96E5D"/>
    <w:rsid w:val="00DF608D"/>
    <w:rsid w:val="00E01E0D"/>
    <w:rsid w:val="00E02B84"/>
    <w:rsid w:val="00E55133"/>
    <w:rsid w:val="00E90E14"/>
    <w:rsid w:val="00EA0716"/>
    <w:rsid w:val="00EC10DA"/>
    <w:rsid w:val="00ED0EE2"/>
    <w:rsid w:val="00F10B35"/>
    <w:rsid w:val="00F343EF"/>
    <w:rsid w:val="00F80A5F"/>
    <w:rsid w:val="00F85F1F"/>
    <w:rsid w:val="00F91067"/>
    <w:rsid w:val="00FB0D24"/>
    <w:rsid w:val="00FE292B"/>
    <w:rsid w:val="00FE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semiHidden/>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basedOn w:val="Normal"/>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022458611BA7547B5976911436D5643" ma:contentTypeVersion="14" ma:contentTypeDescription="Crie um novo documento." ma:contentTypeScope="" ma:versionID="a8ce4a04f9cfd9b30d6595393c38be70">
  <xsd:schema xmlns:xsd="http://www.w3.org/2001/XMLSchema" xmlns:xs="http://www.w3.org/2001/XMLSchema" xmlns:p="http://schemas.microsoft.com/office/2006/metadata/properties" xmlns:ns1="http://schemas.microsoft.com/sharepoint/v3" xmlns:ns2="9dee0a48-fc0c-418b-95fb-08cb8e59e960" xmlns:ns3="9069763c-e0cf-4490-964b-54ddf1228b1f" targetNamespace="http://schemas.microsoft.com/office/2006/metadata/properties" ma:root="true" ma:fieldsID="9b1e66546e058d64489209c665567adc" ns1:_="" ns2:_="" ns3:_="">
    <xsd:import namespace="http://schemas.microsoft.com/sharepoint/v3"/>
    <xsd:import namespace="9dee0a48-fc0c-418b-95fb-08cb8e59e960"/>
    <xsd:import namespace="9069763c-e0cf-4490-964b-54ddf1228b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edades da Política de Conformidade Unificada" ma:hidden="true" ma:internalName="_ip_UnifiedCompliancePolicyProperties">
      <xsd:simpleType>
        <xsd:restriction base="dms:Note"/>
      </xsd:simpleType>
    </xsd:element>
    <xsd:element name="_ip_UnifiedCompliancePolicyUIAction" ma:index="21"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e0a48-fc0c-418b-95fb-08cb8e59e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763c-e0cf-4490-964b-54ddf1228b1f"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2.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3.xml><?xml version="1.0" encoding="utf-8"?>
<ds:datastoreItem xmlns:ds="http://schemas.openxmlformats.org/officeDocument/2006/customXml" ds:itemID="{78AD0AA1-2A9C-4973-AEA2-527EB6571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e0a48-fc0c-418b-95fb-08cb8e59e960"/>
    <ds:schemaRef ds:uri="9069763c-e0cf-4490-964b-54ddf1228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1698</Words>
  <Characters>9171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Jacqueline Favraud</cp:lastModifiedBy>
  <cp:revision>38</cp:revision>
  <cp:lastPrinted>2018-10-25T17:36:00Z</cp:lastPrinted>
  <dcterms:created xsi:type="dcterms:W3CDTF">2020-10-13T15:38:00Z</dcterms:created>
  <dcterms:modified xsi:type="dcterms:W3CDTF">2020-11-24T23:28:00Z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0x0101000022458611BA7547B5976911436D5643</vt:lpwstr>
  </property>
</Properties>
</file>