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98F68" w14:textId="77777777" w:rsidR="00FB0D24" w:rsidRPr="00431732" w:rsidRDefault="00FB0D24" w:rsidP="00431732">
      <w:pPr>
        <w:tabs>
          <w:tab w:val="left" w:pos="7320"/>
        </w:tabs>
        <w:ind w:firstLine="16"/>
        <w:jc w:val="center"/>
        <w:rPr>
          <w:rFonts w:ascii="Open Sans" w:hAnsi="Open Sans" w:cs="Open Sans"/>
          <w:b/>
          <w:sz w:val="20"/>
          <w:szCs w:val="20"/>
        </w:rPr>
      </w:pPr>
      <w:r w:rsidRPr="00431732">
        <w:rPr>
          <w:rFonts w:ascii="Open Sans" w:hAnsi="Open Sans" w:cs="Open Sans"/>
          <w:b/>
          <w:sz w:val="20"/>
          <w:szCs w:val="20"/>
        </w:rPr>
        <w:t>FORTE SECURITIZADORA S.A.</w:t>
      </w:r>
    </w:p>
    <w:p w14:paraId="35FF5A87" w14:textId="77777777" w:rsidR="00FB0D24" w:rsidRPr="00431732" w:rsidRDefault="00FB0D24" w:rsidP="00431732">
      <w:pPr>
        <w:tabs>
          <w:tab w:val="left" w:pos="7320"/>
        </w:tabs>
        <w:ind w:firstLine="16"/>
        <w:jc w:val="center"/>
        <w:rPr>
          <w:rFonts w:ascii="Open Sans" w:hAnsi="Open Sans" w:cs="Open Sans"/>
          <w:sz w:val="20"/>
          <w:szCs w:val="20"/>
        </w:rPr>
      </w:pPr>
      <w:r w:rsidRPr="00431732">
        <w:rPr>
          <w:rFonts w:ascii="Open Sans" w:hAnsi="Open Sans" w:cs="Open Sans"/>
          <w:sz w:val="20"/>
          <w:szCs w:val="20"/>
        </w:rPr>
        <w:t>CNPJ/ME nº 12.979.898/0001-70</w:t>
      </w:r>
    </w:p>
    <w:p w14:paraId="2040CD67" w14:textId="77777777" w:rsidR="00FB0D24" w:rsidRPr="00431732" w:rsidRDefault="00FB0D24" w:rsidP="00431732">
      <w:pPr>
        <w:jc w:val="center"/>
        <w:rPr>
          <w:rFonts w:ascii="Open Sans" w:hAnsi="Open Sans" w:cs="Open Sans"/>
          <w:sz w:val="20"/>
          <w:szCs w:val="20"/>
        </w:rPr>
      </w:pPr>
      <w:r w:rsidRPr="00431732">
        <w:rPr>
          <w:rFonts w:ascii="Open Sans" w:hAnsi="Open Sans" w:cs="Open Sans"/>
          <w:sz w:val="20"/>
          <w:szCs w:val="20"/>
        </w:rPr>
        <w:t>NIRE 35.3.0051294-4</w:t>
      </w:r>
    </w:p>
    <w:p w14:paraId="7114B285" w14:textId="77777777" w:rsidR="00FB0D24" w:rsidRPr="00431732" w:rsidRDefault="00FB0D24" w:rsidP="00431732">
      <w:pPr>
        <w:pStyle w:val="Estilo"/>
        <w:jc w:val="center"/>
        <w:rPr>
          <w:rFonts w:ascii="Open Sans" w:hAnsi="Open Sans" w:cs="Open Sans"/>
          <w:b/>
          <w:bCs/>
          <w:sz w:val="20"/>
          <w:szCs w:val="20"/>
        </w:rPr>
      </w:pPr>
    </w:p>
    <w:p w14:paraId="798C730A" w14:textId="1C264FFB" w:rsidR="00223B78" w:rsidRDefault="00FB0D24" w:rsidP="00223B78">
      <w:pPr>
        <w:jc w:val="center"/>
        <w:rPr>
          <w:rFonts w:ascii="Open Sans" w:hAnsi="Open Sans" w:cs="Open Sans"/>
          <w:b/>
          <w:caps/>
          <w:sz w:val="20"/>
          <w:szCs w:val="20"/>
        </w:rPr>
      </w:pPr>
      <w:r w:rsidRPr="00431732">
        <w:rPr>
          <w:rFonts w:ascii="Open Sans" w:hAnsi="Open Sans" w:cs="Open Sans"/>
          <w:b/>
          <w:caps/>
          <w:sz w:val="20"/>
          <w:szCs w:val="20"/>
        </w:rPr>
        <w:t xml:space="preserve">INSTRUÇÃO DE VOTO </w:t>
      </w:r>
      <w:r w:rsidR="00CF7875" w:rsidRPr="00431732">
        <w:rPr>
          <w:rFonts w:ascii="Open Sans" w:hAnsi="Open Sans" w:cs="Open Sans"/>
          <w:b/>
          <w:caps/>
          <w:sz w:val="20"/>
          <w:szCs w:val="20"/>
        </w:rPr>
        <w:t>À</w:t>
      </w:r>
      <w:r w:rsidRPr="00431732">
        <w:rPr>
          <w:rFonts w:ascii="Open Sans" w:hAnsi="Open Sans" w:cs="Open Sans"/>
          <w:b/>
          <w:caps/>
          <w:sz w:val="20"/>
          <w:szCs w:val="20"/>
        </w:rPr>
        <w:t xml:space="preserve"> DISTÂNCIA</w:t>
      </w:r>
    </w:p>
    <w:p w14:paraId="47697F6E" w14:textId="77777777" w:rsidR="00223B78" w:rsidRDefault="00223B78" w:rsidP="00431732">
      <w:pPr>
        <w:jc w:val="both"/>
        <w:rPr>
          <w:rFonts w:ascii="Open Sans" w:hAnsi="Open Sans" w:cs="Open Sans"/>
          <w:b/>
          <w:caps/>
          <w:sz w:val="20"/>
          <w:szCs w:val="20"/>
        </w:rPr>
      </w:pPr>
    </w:p>
    <w:p w14:paraId="42118ACF" w14:textId="2E579CA8" w:rsidR="00FB0D24" w:rsidRPr="00431732" w:rsidRDefault="00FB0D24" w:rsidP="00431732">
      <w:pPr>
        <w:jc w:val="both"/>
        <w:rPr>
          <w:rFonts w:ascii="Open Sans" w:hAnsi="Open Sans" w:cs="Open Sans"/>
          <w:b/>
          <w:caps/>
          <w:sz w:val="20"/>
          <w:szCs w:val="20"/>
        </w:rPr>
      </w:pPr>
      <w:r w:rsidRPr="00431732">
        <w:rPr>
          <w:rFonts w:ascii="Open Sans" w:hAnsi="Open Sans" w:cs="Open Sans"/>
          <w:b/>
          <w:caps/>
          <w:sz w:val="20"/>
          <w:szCs w:val="20"/>
        </w:rPr>
        <w:t xml:space="preserve">PARA A </w:t>
      </w:r>
      <w:r w:rsidR="00BC2FE8" w:rsidRPr="00431732">
        <w:rPr>
          <w:rFonts w:ascii="Open Sans" w:hAnsi="Open Sans" w:cs="Open Sans"/>
          <w:b/>
          <w:bCs/>
          <w:color w:val="000000" w:themeColor="text1"/>
          <w:sz w:val="20"/>
          <w:szCs w:val="20"/>
        </w:rPr>
        <w:t xml:space="preserve">ASSEMBLEIA GERAL DE TITULARES DOS CERTIFICADOS DE RECEBÍVEIS IMOBILIÁRIOS DAS </w:t>
      </w:r>
      <w:bookmarkStart w:id="0" w:name="_Hlk40114722"/>
      <w:bookmarkStart w:id="1" w:name="_Hlk67661622"/>
      <w:r w:rsidR="00BB14B1" w:rsidRPr="00BB14B1">
        <w:rPr>
          <w:rFonts w:ascii="Open Sans" w:hAnsi="Open Sans" w:cs="Open Sans"/>
          <w:b/>
          <w:caps/>
          <w:sz w:val="20"/>
          <w:szCs w:val="20"/>
        </w:rPr>
        <w:t>335ª, 336ª, 337ª, 338ª, 339ª, 340ª, 341ª, 342ª, 343ª E 344ª</w:t>
      </w:r>
      <w:bookmarkEnd w:id="1"/>
      <w:r w:rsidR="00BC2FE8" w:rsidRPr="00431732">
        <w:rPr>
          <w:rFonts w:ascii="Open Sans" w:hAnsi="Open Sans" w:cs="Open Sans"/>
          <w:b/>
          <w:bCs/>
          <w:color w:val="000000" w:themeColor="text1"/>
          <w:sz w:val="20"/>
          <w:szCs w:val="20"/>
        </w:rPr>
        <w:t xml:space="preserve"> SÉRIE</w:t>
      </w:r>
      <w:bookmarkEnd w:id="0"/>
      <w:r w:rsidR="00BE4F7B">
        <w:rPr>
          <w:rFonts w:ascii="Open Sans" w:hAnsi="Open Sans" w:cs="Open Sans"/>
          <w:b/>
          <w:bCs/>
          <w:color w:val="000000" w:themeColor="text1"/>
          <w:sz w:val="20"/>
          <w:szCs w:val="20"/>
        </w:rPr>
        <w:t>S</w:t>
      </w:r>
      <w:r w:rsidR="00BC2FE8" w:rsidRPr="00431732">
        <w:rPr>
          <w:rFonts w:ascii="Open Sans" w:hAnsi="Open Sans" w:cs="Open Sans"/>
          <w:b/>
          <w:bCs/>
          <w:color w:val="000000" w:themeColor="text1"/>
          <w:sz w:val="20"/>
          <w:szCs w:val="20"/>
        </w:rPr>
        <w:t xml:space="preserve"> DA 1ª EMISSÃO DA FORTE SECURITIZADORA S.A.</w:t>
      </w:r>
      <w:r w:rsidR="005A08C8" w:rsidRPr="00431732">
        <w:rPr>
          <w:rFonts w:ascii="Open Sans" w:hAnsi="Open Sans" w:cs="Open Sans"/>
          <w:b/>
          <w:sz w:val="20"/>
          <w:szCs w:val="20"/>
        </w:rPr>
        <w:t>,</w:t>
      </w:r>
      <w:r w:rsidRPr="00431732">
        <w:rPr>
          <w:rFonts w:ascii="Open Sans" w:hAnsi="Open Sans" w:cs="Open Sans"/>
          <w:b/>
          <w:caps/>
          <w:sz w:val="20"/>
          <w:szCs w:val="20"/>
        </w:rPr>
        <w:t xml:space="preserve"> a ser realizada em </w:t>
      </w:r>
      <w:r w:rsidR="00BC2FE8" w:rsidRPr="00431732">
        <w:rPr>
          <w:rFonts w:ascii="Open Sans" w:hAnsi="Open Sans" w:cs="Open Sans"/>
          <w:b/>
          <w:caps/>
          <w:sz w:val="20"/>
          <w:szCs w:val="20"/>
        </w:rPr>
        <w:t>PRIMEIRA</w:t>
      </w:r>
      <w:r w:rsidRPr="00431732">
        <w:rPr>
          <w:rFonts w:ascii="Open Sans" w:hAnsi="Open Sans" w:cs="Open Sans"/>
          <w:b/>
          <w:caps/>
          <w:sz w:val="20"/>
          <w:szCs w:val="20"/>
        </w:rPr>
        <w:t xml:space="preserve"> convocação</w:t>
      </w:r>
      <w:r w:rsidR="00B0580D" w:rsidRPr="00431732">
        <w:rPr>
          <w:rFonts w:ascii="Open Sans" w:hAnsi="Open Sans" w:cs="Open Sans"/>
          <w:b/>
          <w:caps/>
          <w:sz w:val="20"/>
          <w:szCs w:val="20"/>
        </w:rPr>
        <w:t xml:space="preserve"> em </w:t>
      </w:r>
      <w:r w:rsidR="00A24A0D">
        <w:rPr>
          <w:rFonts w:ascii="Open Sans" w:hAnsi="Open Sans" w:cs="Open Sans"/>
          <w:b/>
          <w:caps/>
          <w:sz w:val="20"/>
          <w:szCs w:val="20"/>
        </w:rPr>
        <w:t>14</w:t>
      </w:r>
      <w:r w:rsidR="00BC2FE8" w:rsidRPr="00431732">
        <w:rPr>
          <w:rFonts w:ascii="Open Sans" w:hAnsi="Open Sans" w:cs="Open Sans"/>
          <w:b/>
          <w:caps/>
          <w:sz w:val="20"/>
          <w:szCs w:val="20"/>
        </w:rPr>
        <w:t xml:space="preserve"> </w:t>
      </w:r>
      <w:r w:rsidR="00B0580D" w:rsidRPr="00431732">
        <w:rPr>
          <w:rFonts w:ascii="Open Sans" w:hAnsi="Open Sans" w:cs="Open Sans"/>
          <w:b/>
          <w:caps/>
          <w:sz w:val="20"/>
          <w:szCs w:val="20"/>
        </w:rPr>
        <w:t xml:space="preserve">de </w:t>
      </w:r>
      <w:r w:rsidR="00A24A0D">
        <w:rPr>
          <w:rFonts w:ascii="Open Sans" w:hAnsi="Open Sans" w:cs="Open Sans"/>
          <w:b/>
          <w:caps/>
          <w:sz w:val="20"/>
          <w:szCs w:val="20"/>
        </w:rPr>
        <w:t>ABRIL</w:t>
      </w:r>
      <w:r w:rsidR="00F06AA6" w:rsidRPr="00431732">
        <w:rPr>
          <w:rFonts w:ascii="Open Sans" w:hAnsi="Open Sans" w:cs="Open Sans"/>
          <w:b/>
          <w:caps/>
          <w:sz w:val="20"/>
          <w:szCs w:val="20"/>
        </w:rPr>
        <w:t xml:space="preserve"> </w:t>
      </w:r>
      <w:r w:rsidR="00B0580D" w:rsidRPr="00431732">
        <w:rPr>
          <w:rFonts w:ascii="Open Sans" w:hAnsi="Open Sans" w:cs="Open Sans"/>
          <w:b/>
          <w:caps/>
          <w:sz w:val="20"/>
          <w:szCs w:val="20"/>
        </w:rPr>
        <w:t>de 202</w:t>
      </w:r>
      <w:r w:rsidR="00F06AA6" w:rsidRPr="00431732">
        <w:rPr>
          <w:rFonts w:ascii="Open Sans" w:hAnsi="Open Sans" w:cs="Open Sans"/>
          <w:b/>
          <w:caps/>
          <w:sz w:val="20"/>
          <w:szCs w:val="20"/>
        </w:rPr>
        <w:t>1</w:t>
      </w:r>
      <w:r w:rsidRPr="00431732">
        <w:rPr>
          <w:rFonts w:ascii="Open Sans" w:hAnsi="Open Sans" w:cs="Open Sans"/>
          <w:b/>
          <w:caps/>
          <w:sz w:val="20"/>
          <w:szCs w:val="20"/>
        </w:rPr>
        <w:t xml:space="preserve"> e/ou </w:t>
      </w:r>
      <w:r w:rsidR="00B0580D" w:rsidRPr="00431732">
        <w:rPr>
          <w:rFonts w:ascii="Open Sans" w:hAnsi="Open Sans" w:cs="Open Sans"/>
          <w:b/>
          <w:caps/>
          <w:sz w:val="20"/>
          <w:szCs w:val="20"/>
        </w:rPr>
        <w:t xml:space="preserve">em </w:t>
      </w:r>
      <w:r w:rsidRPr="00431732">
        <w:rPr>
          <w:rFonts w:ascii="Open Sans" w:hAnsi="Open Sans" w:cs="Open Sans"/>
          <w:b/>
          <w:caps/>
          <w:sz w:val="20"/>
          <w:szCs w:val="20"/>
        </w:rPr>
        <w:t>eventuais reaberturas</w:t>
      </w:r>
      <w:r w:rsidR="00521102" w:rsidRPr="00431732">
        <w:rPr>
          <w:rFonts w:ascii="Open Sans" w:hAnsi="Open Sans" w:cs="Open Sans"/>
          <w:b/>
          <w:caps/>
          <w:sz w:val="20"/>
          <w:szCs w:val="20"/>
        </w:rPr>
        <w:t xml:space="preserve"> e/ou em segunda convocação</w:t>
      </w:r>
    </w:p>
    <w:p w14:paraId="1CEE000F" w14:textId="55443671" w:rsidR="00CA70F4" w:rsidRDefault="00CA70F4" w:rsidP="00431732">
      <w:pPr>
        <w:pStyle w:val="Estilo"/>
        <w:jc w:val="both"/>
        <w:rPr>
          <w:rFonts w:ascii="Open Sans" w:hAnsi="Open Sans" w:cs="Open Sans"/>
          <w:sz w:val="20"/>
          <w:szCs w:val="20"/>
          <w:shd w:val="clear" w:color="auto" w:fill="FFFFFF"/>
        </w:rPr>
      </w:pPr>
    </w:p>
    <w:p w14:paraId="34E95F2C" w14:textId="61561951" w:rsidR="00CA70F4" w:rsidRDefault="00CA70F4" w:rsidP="00DB5B7F">
      <w:pPr>
        <w:pStyle w:val="Estilo"/>
        <w:jc w:val="center"/>
        <w:rPr>
          <w:rFonts w:ascii="Open Sans" w:hAnsi="Open Sans" w:cs="Open Sans"/>
          <w:sz w:val="20"/>
          <w:szCs w:val="20"/>
          <w:shd w:val="clear" w:color="auto" w:fill="FFFFFF"/>
        </w:rPr>
      </w:pPr>
      <w:r w:rsidRPr="00DB5B7F">
        <w:rPr>
          <w:rFonts w:ascii="Open Sans" w:hAnsi="Open Sans" w:cs="Open Sans"/>
          <w:i/>
          <w:iCs/>
          <w:sz w:val="18"/>
          <w:szCs w:val="18"/>
          <w:shd w:val="clear" w:color="auto" w:fill="FFFFFF"/>
        </w:rPr>
        <w:t>As orientações de preenchimento e de envio estão descritas ao final desta Instrução de Voto à Distância</w:t>
      </w:r>
      <w:r>
        <w:rPr>
          <w:rFonts w:ascii="Open Sans" w:hAnsi="Open Sans" w:cs="Open Sans"/>
          <w:sz w:val="20"/>
          <w:szCs w:val="20"/>
          <w:shd w:val="clear" w:color="auto" w:fill="FFFFFF"/>
        </w:rPr>
        <w:t>.</w:t>
      </w:r>
    </w:p>
    <w:p w14:paraId="0BD40F28" w14:textId="77777777" w:rsidR="00CA70F4" w:rsidRPr="00431732" w:rsidRDefault="00CA70F4" w:rsidP="00431732">
      <w:pPr>
        <w:pStyle w:val="Estilo"/>
        <w:jc w:val="both"/>
        <w:rPr>
          <w:rFonts w:ascii="Open Sans" w:hAnsi="Open Sans" w:cs="Open Sans"/>
          <w:sz w:val="20"/>
          <w:szCs w:val="20"/>
          <w:shd w:val="clear" w:color="auto" w:fill="FFFFFF"/>
        </w:rPr>
      </w:pPr>
    </w:p>
    <w:tbl>
      <w:tblPr>
        <w:tblStyle w:val="Tabelacomgrade"/>
        <w:tblW w:w="0" w:type="auto"/>
        <w:tblInd w:w="108" w:type="dxa"/>
        <w:tblLook w:val="04A0" w:firstRow="1" w:lastRow="0" w:firstColumn="1" w:lastColumn="0" w:noHBand="0" w:noVBand="1"/>
      </w:tblPr>
      <w:tblGrid>
        <w:gridCol w:w="2960"/>
        <w:gridCol w:w="5420"/>
      </w:tblGrid>
      <w:tr w:rsidR="00FB0D24" w:rsidRPr="00431732" w14:paraId="21F40042" w14:textId="77777777" w:rsidTr="005B76D0">
        <w:trPr>
          <w:trHeight w:val="969"/>
        </w:trPr>
        <w:tc>
          <w:tcPr>
            <w:tcW w:w="2960" w:type="dxa"/>
          </w:tcPr>
          <w:p w14:paraId="75BEC917" w14:textId="1D91AB60" w:rsidR="00FB0D24" w:rsidRPr="00431732" w:rsidRDefault="00FB0D24" w:rsidP="00431732">
            <w:pPr>
              <w:pStyle w:val="Estilo"/>
              <w:spacing w:before="120"/>
              <w:rPr>
                <w:rFonts w:ascii="Open Sans" w:hAnsi="Open Sans" w:cs="Open Sans"/>
                <w:shd w:val="clear" w:color="auto" w:fill="FFFFFF"/>
              </w:rPr>
            </w:pPr>
            <w:r w:rsidRPr="00431732">
              <w:rPr>
                <w:rFonts w:ascii="Open Sans" w:hAnsi="Open Sans" w:cs="Open Sans"/>
                <w:shd w:val="clear" w:color="auto" w:fill="FFFFFF"/>
              </w:rPr>
              <w:t xml:space="preserve">Nome/Denominação </w:t>
            </w:r>
            <w:r w:rsidR="00BE4F7B">
              <w:rPr>
                <w:rFonts w:ascii="Open Sans" w:hAnsi="Open Sans" w:cs="Open Sans"/>
                <w:shd w:val="clear" w:color="auto" w:fill="FFFFFF"/>
              </w:rPr>
              <w:t xml:space="preserve">Social </w:t>
            </w:r>
            <w:r w:rsidRPr="00431732">
              <w:rPr>
                <w:rFonts w:ascii="Open Sans" w:hAnsi="Open Sans" w:cs="Open Sans"/>
                <w:shd w:val="clear" w:color="auto" w:fill="FFFFFF"/>
              </w:rPr>
              <w:t>do Titular de CR</w:t>
            </w:r>
            <w:r w:rsidR="00BC2FE8" w:rsidRPr="00431732">
              <w:rPr>
                <w:rFonts w:ascii="Open Sans" w:hAnsi="Open Sans" w:cs="Open Sans"/>
                <w:shd w:val="clear" w:color="auto" w:fill="FFFFFF"/>
              </w:rPr>
              <w:t>I</w:t>
            </w:r>
          </w:p>
        </w:tc>
        <w:tc>
          <w:tcPr>
            <w:tcW w:w="5420" w:type="dxa"/>
          </w:tcPr>
          <w:p w14:paraId="333561C1" w14:textId="77777777" w:rsidR="00FB0D24" w:rsidRPr="00431732" w:rsidRDefault="00FB0D24" w:rsidP="00431732">
            <w:pPr>
              <w:pStyle w:val="Estilo"/>
              <w:spacing w:before="120"/>
              <w:jc w:val="both"/>
              <w:rPr>
                <w:rFonts w:ascii="Open Sans" w:hAnsi="Open Sans" w:cs="Open Sans"/>
                <w:shd w:val="clear" w:color="auto" w:fill="FFFFFF"/>
              </w:rPr>
            </w:pPr>
          </w:p>
        </w:tc>
      </w:tr>
      <w:tr w:rsidR="00FB0D24" w:rsidRPr="00431732" w14:paraId="4F9C9A9E" w14:textId="77777777" w:rsidTr="009238FF">
        <w:tc>
          <w:tcPr>
            <w:tcW w:w="2960" w:type="dxa"/>
          </w:tcPr>
          <w:p w14:paraId="28BAA0F8" w14:textId="54BBF070" w:rsidR="00FB0D24" w:rsidRPr="00431732" w:rsidRDefault="00FB0D24" w:rsidP="00431732">
            <w:pPr>
              <w:pStyle w:val="Estilo"/>
              <w:spacing w:before="120"/>
              <w:rPr>
                <w:rFonts w:ascii="Open Sans" w:hAnsi="Open Sans" w:cs="Open Sans"/>
                <w:shd w:val="clear" w:color="auto" w:fill="FFFFFF"/>
              </w:rPr>
            </w:pPr>
            <w:r w:rsidRPr="00431732">
              <w:rPr>
                <w:rFonts w:ascii="Open Sans" w:hAnsi="Open Sans" w:cs="Open Sans"/>
                <w:shd w:val="clear" w:color="auto" w:fill="FFFFFF"/>
              </w:rPr>
              <w:t>CPF/CNPJ do Titular de CR</w:t>
            </w:r>
            <w:r w:rsidR="00BC2FE8" w:rsidRPr="00431732">
              <w:rPr>
                <w:rFonts w:ascii="Open Sans" w:hAnsi="Open Sans" w:cs="Open Sans"/>
                <w:shd w:val="clear" w:color="auto" w:fill="FFFFFF"/>
              </w:rPr>
              <w:t>I</w:t>
            </w:r>
          </w:p>
          <w:p w14:paraId="1ABE1E64" w14:textId="77777777" w:rsidR="00FB0D24" w:rsidRPr="00431732" w:rsidRDefault="00FB0D24" w:rsidP="00431732">
            <w:pPr>
              <w:pStyle w:val="Estilo"/>
              <w:spacing w:before="120"/>
              <w:rPr>
                <w:rFonts w:ascii="Open Sans" w:hAnsi="Open Sans" w:cs="Open Sans"/>
                <w:shd w:val="clear" w:color="auto" w:fill="FFFFFF"/>
              </w:rPr>
            </w:pPr>
          </w:p>
        </w:tc>
        <w:tc>
          <w:tcPr>
            <w:tcW w:w="5420" w:type="dxa"/>
          </w:tcPr>
          <w:p w14:paraId="0AA0A312" w14:textId="77777777" w:rsidR="00FB0D24" w:rsidRPr="00431732" w:rsidRDefault="00FB0D24" w:rsidP="00431732">
            <w:pPr>
              <w:pStyle w:val="Estilo"/>
              <w:spacing w:before="120"/>
              <w:jc w:val="both"/>
              <w:rPr>
                <w:rFonts w:ascii="Open Sans" w:hAnsi="Open Sans" w:cs="Open Sans"/>
                <w:shd w:val="clear" w:color="auto" w:fill="FFFFFF"/>
              </w:rPr>
            </w:pPr>
          </w:p>
        </w:tc>
      </w:tr>
      <w:tr w:rsidR="00FB0D24" w:rsidRPr="00431732" w14:paraId="50C22F28" w14:textId="77777777" w:rsidTr="009238FF">
        <w:tc>
          <w:tcPr>
            <w:tcW w:w="2960" w:type="dxa"/>
          </w:tcPr>
          <w:p w14:paraId="45E47843" w14:textId="33C44A4D" w:rsidR="00FB0D24" w:rsidRPr="00431732" w:rsidRDefault="00FB0D24" w:rsidP="00431732">
            <w:pPr>
              <w:pStyle w:val="Estilo"/>
              <w:spacing w:before="120"/>
              <w:rPr>
                <w:rFonts w:ascii="Open Sans" w:hAnsi="Open Sans" w:cs="Open Sans"/>
                <w:shd w:val="clear" w:color="auto" w:fill="FFFFFF"/>
              </w:rPr>
            </w:pPr>
            <w:r w:rsidRPr="00431732">
              <w:rPr>
                <w:rFonts w:ascii="Open Sans" w:hAnsi="Open Sans" w:cs="Open Sans"/>
                <w:i/>
                <w:iCs/>
                <w:shd w:val="clear" w:color="auto" w:fill="FFFFFF"/>
              </w:rPr>
              <w:t>E-mail</w:t>
            </w:r>
            <w:r w:rsidRPr="00431732">
              <w:rPr>
                <w:rFonts w:ascii="Open Sans" w:hAnsi="Open Sans" w:cs="Open Sans"/>
                <w:shd w:val="clear" w:color="auto" w:fill="FFFFFF"/>
              </w:rPr>
              <w:t xml:space="preserve"> do Titular de CR</w:t>
            </w:r>
            <w:r w:rsidR="00BC2FE8" w:rsidRPr="00431732">
              <w:rPr>
                <w:rFonts w:ascii="Open Sans" w:hAnsi="Open Sans" w:cs="Open Sans"/>
                <w:shd w:val="clear" w:color="auto" w:fill="FFFFFF"/>
              </w:rPr>
              <w:t>I</w:t>
            </w:r>
          </w:p>
          <w:p w14:paraId="68E68C83" w14:textId="77777777" w:rsidR="00FB0D24" w:rsidRPr="00431732" w:rsidRDefault="00FB0D24" w:rsidP="00431732">
            <w:pPr>
              <w:pStyle w:val="Estilo"/>
              <w:spacing w:before="120"/>
              <w:rPr>
                <w:rFonts w:ascii="Open Sans" w:hAnsi="Open Sans" w:cs="Open Sans"/>
                <w:shd w:val="clear" w:color="auto" w:fill="FFFFFF"/>
              </w:rPr>
            </w:pPr>
          </w:p>
        </w:tc>
        <w:tc>
          <w:tcPr>
            <w:tcW w:w="5420" w:type="dxa"/>
          </w:tcPr>
          <w:p w14:paraId="6FA96630" w14:textId="77777777" w:rsidR="00FB0D24" w:rsidRPr="00431732" w:rsidRDefault="00FB0D24" w:rsidP="00431732">
            <w:pPr>
              <w:pStyle w:val="Estilo"/>
              <w:spacing w:before="120"/>
              <w:jc w:val="both"/>
              <w:rPr>
                <w:rFonts w:ascii="Open Sans" w:hAnsi="Open Sans" w:cs="Open Sans"/>
                <w:shd w:val="clear" w:color="auto" w:fill="FFFFFF"/>
              </w:rPr>
            </w:pPr>
          </w:p>
        </w:tc>
      </w:tr>
      <w:tr w:rsidR="00FB0D24" w:rsidRPr="00431732" w14:paraId="2E187A9D" w14:textId="77777777" w:rsidTr="009238FF">
        <w:tc>
          <w:tcPr>
            <w:tcW w:w="2960" w:type="dxa"/>
          </w:tcPr>
          <w:p w14:paraId="4497E4C7" w14:textId="77777777" w:rsidR="00FB0D24" w:rsidRPr="00431732" w:rsidRDefault="00FB0D24" w:rsidP="00431732">
            <w:pPr>
              <w:pStyle w:val="Estilo"/>
              <w:spacing w:before="120"/>
              <w:rPr>
                <w:rFonts w:ascii="Open Sans" w:hAnsi="Open Sans" w:cs="Open Sans"/>
                <w:shd w:val="clear" w:color="auto" w:fill="FFFFFF"/>
              </w:rPr>
            </w:pPr>
            <w:r w:rsidRPr="00431732">
              <w:rPr>
                <w:rFonts w:ascii="Open Sans" w:hAnsi="Open Sans" w:cs="Open Sans"/>
                <w:shd w:val="clear" w:color="auto" w:fill="FFFFFF"/>
              </w:rPr>
              <w:t>Telefones para Contato</w:t>
            </w:r>
          </w:p>
          <w:p w14:paraId="12307891" w14:textId="77777777" w:rsidR="00FB0D24" w:rsidRPr="00431732" w:rsidRDefault="00FB0D24" w:rsidP="00431732">
            <w:pPr>
              <w:pStyle w:val="Estilo"/>
              <w:spacing w:before="120"/>
              <w:rPr>
                <w:rFonts w:ascii="Open Sans" w:hAnsi="Open Sans" w:cs="Open Sans"/>
                <w:shd w:val="clear" w:color="auto" w:fill="FFFFFF"/>
              </w:rPr>
            </w:pPr>
          </w:p>
        </w:tc>
        <w:tc>
          <w:tcPr>
            <w:tcW w:w="5420" w:type="dxa"/>
          </w:tcPr>
          <w:p w14:paraId="688E1715" w14:textId="77777777" w:rsidR="00FB0D24" w:rsidRPr="00431732" w:rsidRDefault="00FB0D24" w:rsidP="00431732">
            <w:pPr>
              <w:pStyle w:val="Estilo"/>
              <w:spacing w:before="120"/>
              <w:jc w:val="both"/>
              <w:rPr>
                <w:rFonts w:ascii="Open Sans" w:hAnsi="Open Sans" w:cs="Open Sans"/>
                <w:shd w:val="clear" w:color="auto" w:fill="FFFFFF"/>
              </w:rPr>
            </w:pPr>
          </w:p>
        </w:tc>
      </w:tr>
    </w:tbl>
    <w:p w14:paraId="2C1B68E2" w14:textId="16B39660" w:rsidR="00BC543A" w:rsidRDefault="00BC543A" w:rsidP="00431732">
      <w:pPr>
        <w:pStyle w:val="Estilo"/>
        <w:jc w:val="both"/>
        <w:rPr>
          <w:rFonts w:ascii="Open Sans" w:hAnsi="Open Sans" w:cs="Open Sans"/>
          <w:sz w:val="20"/>
          <w:szCs w:val="20"/>
          <w:shd w:val="clear" w:color="auto" w:fill="FFFFFF"/>
        </w:rPr>
      </w:pPr>
    </w:p>
    <w:p w14:paraId="2545A030" w14:textId="6A6DACF6" w:rsidR="00FB0D24" w:rsidRPr="00431732" w:rsidRDefault="00FB0D24" w:rsidP="00431732">
      <w:pPr>
        <w:pStyle w:val="Estilo"/>
        <w:jc w:val="both"/>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t>MANIFESTAÇÃO DE VOTO:</w:t>
      </w:r>
    </w:p>
    <w:p w14:paraId="7B1F2714" w14:textId="77777777" w:rsidR="00FB0D24" w:rsidRPr="00431732" w:rsidRDefault="00FB0D24" w:rsidP="00431732">
      <w:pPr>
        <w:pStyle w:val="Estilo"/>
        <w:jc w:val="both"/>
        <w:rPr>
          <w:rFonts w:ascii="Open Sans" w:hAnsi="Open Sans" w:cs="Open Sans"/>
          <w:sz w:val="20"/>
          <w:szCs w:val="20"/>
          <w:shd w:val="clear" w:color="auto" w:fill="FFFFFF"/>
        </w:rPr>
      </w:pPr>
    </w:p>
    <w:p w14:paraId="40592CB8" w14:textId="163AD6D7" w:rsidR="00FB0D24" w:rsidRPr="00431732" w:rsidRDefault="00545A99" w:rsidP="00431732">
      <w:pPr>
        <w:widowControl w:val="0"/>
        <w:autoSpaceDE w:val="0"/>
        <w:autoSpaceDN w:val="0"/>
        <w:adjustRightInd w:val="0"/>
        <w:jc w:val="both"/>
        <w:rPr>
          <w:rFonts w:ascii="Open Sans" w:hAnsi="Open Sans" w:cs="Open Sans"/>
          <w:sz w:val="20"/>
          <w:szCs w:val="20"/>
        </w:rPr>
      </w:pPr>
      <w:r w:rsidRPr="00431732">
        <w:rPr>
          <w:rFonts w:ascii="Open Sans" w:hAnsi="Open Sans" w:cs="Open Sans"/>
          <w:b/>
          <w:bCs/>
          <w:color w:val="000000" w:themeColor="text1"/>
          <w:sz w:val="20"/>
          <w:szCs w:val="20"/>
        </w:rPr>
        <w:t>(i)</w:t>
      </w:r>
      <w:r w:rsidRPr="00431732">
        <w:rPr>
          <w:rFonts w:ascii="Open Sans" w:hAnsi="Open Sans" w:cs="Open Sans"/>
          <w:b/>
          <w:bCs/>
          <w:color w:val="000000" w:themeColor="text1"/>
          <w:sz w:val="20"/>
          <w:szCs w:val="20"/>
        </w:rPr>
        <w:tab/>
      </w:r>
      <w:r w:rsidR="00F86361" w:rsidRPr="00B9373E">
        <w:rPr>
          <w:rFonts w:ascii="Open Sans" w:hAnsi="Open Sans" w:cs="Open Sans"/>
          <w:color w:val="000000" w:themeColor="text1"/>
          <w:sz w:val="20"/>
          <w:szCs w:val="20"/>
        </w:rPr>
        <w:t xml:space="preserve">concessão de carência no pagamento das Amortizações Programadas dos CRI, conforme previstas no </w:t>
      </w:r>
      <w:r w:rsidR="00F86361" w:rsidRPr="00216357">
        <w:rPr>
          <w:rFonts w:ascii="Open Sans" w:hAnsi="Open Sans" w:cs="Open Sans"/>
          <w:color w:val="000000" w:themeColor="text1"/>
          <w:sz w:val="20"/>
          <w:szCs w:val="20"/>
        </w:rPr>
        <w:t xml:space="preserve">Anexo II do Termo de Securitização, por um período de 12 (doze) meses, com relação às parcelas vincendas nos meses de </w:t>
      </w:r>
      <w:r w:rsidR="00F86361" w:rsidRPr="00216357">
        <w:rPr>
          <w:rFonts w:ascii="Open Sans" w:hAnsi="Open Sans" w:cs="Open Sans"/>
          <w:sz w:val="20"/>
          <w:szCs w:val="20"/>
        </w:rPr>
        <w:t>abril de 2021 (inclusive) a março de 2022 (inclusive),</w:t>
      </w:r>
      <w:r w:rsidR="00F86361" w:rsidRPr="00216357">
        <w:rPr>
          <w:rFonts w:ascii="Open Sans" w:hAnsi="Open Sans" w:cs="Open Sans"/>
          <w:color w:val="000000" w:themeColor="text1"/>
          <w:sz w:val="20"/>
          <w:szCs w:val="20"/>
        </w:rPr>
        <w:t xml:space="preserve"> mantendo-se o pagamento da Remuneração dos CRI (“</w:t>
      </w:r>
      <w:r w:rsidR="00F86361" w:rsidRPr="00216357">
        <w:rPr>
          <w:rFonts w:ascii="Open Sans" w:hAnsi="Open Sans" w:cs="Open Sans"/>
          <w:color w:val="000000" w:themeColor="text1"/>
          <w:sz w:val="20"/>
          <w:szCs w:val="20"/>
          <w:u w:val="single"/>
        </w:rPr>
        <w:t>Carência de Amortização Programada dos CRI</w:t>
      </w:r>
      <w:r w:rsidR="00F86361" w:rsidRPr="00216357">
        <w:rPr>
          <w:rFonts w:ascii="Open Sans" w:hAnsi="Open Sans" w:cs="Open Sans"/>
          <w:color w:val="000000" w:themeColor="text1"/>
          <w:sz w:val="20"/>
          <w:szCs w:val="20"/>
        </w:rPr>
        <w:t>”)</w:t>
      </w:r>
      <w:r w:rsidR="00BE4F7B">
        <w:rPr>
          <w:rFonts w:ascii="Open Sans" w:hAnsi="Open Sans" w:cs="Open Sans"/>
          <w:color w:val="000000" w:themeColor="text1"/>
          <w:sz w:val="20"/>
          <w:szCs w:val="20"/>
        </w:rPr>
        <w:t>:</w:t>
      </w:r>
    </w:p>
    <w:p w14:paraId="3815629D" w14:textId="77777777" w:rsidR="00FB0D24" w:rsidRPr="00431732" w:rsidRDefault="00FB0D24" w:rsidP="00431732">
      <w:pPr>
        <w:pStyle w:val="PargrafodaLista"/>
        <w:widowControl w:val="0"/>
        <w:autoSpaceDE w:val="0"/>
        <w:autoSpaceDN w:val="0"/>
        <w:adjustRightInd w:val="0"/>
        <w:ind w:left="851"/>
        <w:jc w:val="both"/>
        <w:rPr>
          <w:rFonts w:ascii="Open Sans" w:hAnsi="Open Sans" w:cs="Open Sans"/>
          <w:sz w:val="20"/>
          <w:szCs w:val="20"/>
        </w:rPr>
      </w:pPr>
    </w:p>
    <w:p w14:paraId="2774FDB9" w14:textId="4EB47438" w:rsidR="00FB0D24" w:rsidRPr="00431732" w:rsidRDefault="00FB0D24" w:rsidP="00223B78">
      <w:pPr>
        <w:pStyle w:val="Estilo"/>
        <w:jc w:val="center"/>
        <w:rPr>
          <w:rFonts w:ascii="Open Sans" w:hAnsi="Open Sans" w:cs="Open Sans"/>
          <w:b/>
          <w:sz w:val="20"/>
          <w:szCs w:val="20"/>
          <w:shd w:val="clear" w:color="auto" w:fill="FFFFFF"/>
        </w:rPr>
      </w:pPr>
      <w:proofErr w:type="gramStart"/>
      <w:r w:rsidRPr="00431732">
        <w:rPr>
          <w:rFonts w:ascii="Open Sans" w:hAnsi="Open Sans" w:cs="Open Sans"/>
          <w:b/>
          <w:sz w:val="20"/>
          <w:szCs w:val="20"/>
          <w:shd w:val="clear" w:color="auto" w:fill="FFFFFF"/>
        </w:rPr>
        <w:t>[</w:t>
      </w:r>
      <w:r w:rsidR="00223B78">
        <w:rPr>
          <w:rFonts w:ascii="Open Sans" w:hAnsi="Open Sans" w:cs="Open Sans"/>
          <w:b/>
          <w:sz w:val="20"/>
          <w:szCs w:val="20"/>
          <w:shd w:val="clear" w:color="auto" w:fill="FFFFFF"/>
        </w:rPr>
        <w:t xml:space="preserve">  </w:t>
      </w:r>
      <w:proofErr w:type="gramEnd"/>
      <w:r w:rsidR="00223B78">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r>
      <w:r w:rsidR="00223B78" w:rsidRPr="00431732">
        <w:rPr>
          <w:rFonts w:ascii="Open Sans" w:hAnsi="Open Sans" w:cs="Open Sans"/>
          <w:b/>
          <w:sz w:val="20"/>
          <w:szCs w:val="20"/>
          <w:shd w:val="clear" w:color="auto" w:fill="FFFFFF"/>
        </w:rPr>
        <w:t>[</w:t>
      </w:r>
      <w:r w:rsidR="00223B78">
        <w:rPr>
          <w:rFonts w:ascii="Open Sans" w:hAnsi="Open Sans" w:cs="Open Sans"/>
          <w:b/>
          <w:sz w:val="20"/>
          <w:szCs w:val="20"/>
          <w:shd w:val="clear" w:color="auto" w:fill="FFFFFF"/>
        </w:rPr>
        <w:t xml:space="preserve">        </w:t>
      </w:r>
      <w:r w:rsidR="00223B78" w:rsidRPr="00431732">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r>
      <w:r w:rsidR="00223B78" w:rsidRPr="00431732">
        <w:rPr>
          <w:rFonts w:ascii="Open Sans" w:hAnsi="Open Sans" w:cs="Open Sans"/>
          <w:b/>
          <w:sz w:val="20"/>
          <w:szCs w:val="20"/>
          <w:shd w:val="clear" w:color="auto" w:fill="FFFFFF"/>
        </w:rPr>
        <w:t>[</w:t>
      </w:r>
      <w:r w:rsidR="00223B78">
        <w:rPr>
          <w:rFonts w:ascii="Open Sans" w:hAnsi="Open Sans" w:cs="Open Sans"/>
          <w:b/>
          <w:sz w:val="20"/>
          <w:szCs w:val="20"/>
          <w:shd w:val="clear" w:color="auto" w:fill="FFFFFF"/>
        </w:rPr>
        <w:t xml:space="preserve">        </w:t>
      </w:r>
      <w:r w:rsidR="00223B78" w:rsidRPr="00431732">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ABSTER-SE</w:t>
      </w:r>
    </w:p>
    <w:p w14:paraId="19789E99" w14:textId="77777777" w:rsidR="00FB0D24" w:rsidRPr="00431732" w:rsidRDefault="00FB0D24" w:rsidP="00431732">
      <w:pPr>
        <w:pStyle w:val="Estilo"/>
        <w:pBdr>
          <w:bottom w:val="single" w:sz="4" w:space="1" w:color="auto"/>
        </w:pBdr>
        <w:jc w:val="both"/>
        <w:rPr>
          <w:rFonts w:ascii="Open Sans" w:hAnsi="Open Sans" w:cs="Open Sans"/>
          <w:sz w:val="20"/>
          <w:szCs w:val="20"/>
          <w:shd w:val="clear" w:color="auto" w:fill="FFFFFF"/>
        </w:rPr>
      </w:pPr>
    </w:p>
    <w:p w14:paraId="436909AE" w14:textId="2C4A7E3D" w:rsidR="00FB0D24" w:rsidRPr="00431732" w:rsidRDefault="00FB0D24" w:rsidP="00431732">
      <w:pPr>
        <w:pStyle w:val="Estilo"/>
        <w:jc w:val="both"/>
        <w:rPr>
          <w:rFonts w:ascii="Open Sans" w:hAnsi="Open Sans" w:cs="Open Sans"/>
          <w:sz w:val="20"/>
          <w:szCs w:val="20"/>
          <w:shd w:val="clear" w:color="auto" w:fill="FFFFFF"/>
        </w:rPr>
      </w:pPr>
    </w:p>
    <w:p w14:paraId="1A4A5A8A" w14:textId="3577D46E" w:rsidR="008139B6" w:rsidRPr="00431732" w:rsidRDefault="008139B6" w:rsidP="00431732">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proofErr w:type="spellStart"/>
      <w:r w:rsidRPr="00431732">
        <w:rPr>
          <w:rFonts w:ascii="Open Sans" w:eastAsia="Calibri" w:hAnsi="Open Sans" w:cs="Open Sans"/>
          <w:b/>
          <w:bCs/>
          <w:sz w:val="20"/>
          <w:szCs w:val="20"/>
        </w:rPr>
        <w:t>i</w:t>
      </w:r>
      <w:r w:rsidR="00607502" w:rsidRPr="00431732">
        <w:rPr>
          <w:rFonts w:ascii="Open Sans" w:eastAsia="Calibri" w:hAnsi="Open Sans" w:cs="Open Sans"/>
          <w:b/>
          <w:bCs/>
          <w:sz w:val="20"/>
          <w:szCs w:val="20"/>
        </w:rPr>
        <w:t>i</w:t>
      </w:r>
      <w:proofErr w:type="spellEnd"/>
      <w:r w:rsidRPr="00431732">
        <w:rPr>
          <w:rFonts w:ascii="Open Sans" w:eastAsia="Calibri" w:hAnsi="Open Sans" w:cs="Open Sans"/>
          <w:b/>
          <w:bCs/>
          <w:sz w:val="20"/>
          <w:szCs w:val="20"/>
        </w:rPr>
        <w:t>)</w:t>
      </w:r>
      <w:r w:rsidRPr="00431732">
        <w:rPr>
          <w:rFonts w:ascii="Open Sans" w:eastAsia="Calibri" w:hAnsi="Open Sans" w:cs="Open Sans"/>
          <w:b/>
          <w:bCs/>
          <w:sz w:val="20"/>
          <w:szCs w:val="20"/>
        </w:rPr>
        <w:tab/>
      </w:r>
      <w:r w:rsidR="00F45F8B" w:rsidRPr="00216357">
        <w:rPr>
          <w:rFonts w:ascii="Open Sans" w:hAnsi="Open Sans" w:cs="Open Sans"/>
          <w:color w:val="000000" w:themeColor="text1"/>
          <w:sz w:val="20"/>
          <w:szCs w:val="20"/>
        </w:rPr>
        <w:t>aprovação para que, no período entre os meses de outubro de 2021 (inclusive) e março de 2022 (inclusive), sejam realizadas Amortizações Extraordinárias dos CRI mediante a utilização de 50% (cinquenta por cento) dos recursos que eventualmente seriam destinados à Cedente a título de Saldo Remanescente do Preço de Cessão (“</w:t>
      </w:r>
      <w:r w:rsidR="00F45F8B" w:rsidRPr="00216357">
        <w:rPr>
          <w:rFonts w:ascii="Open Sans" w:hAnsi="Open Sans" w:cs="Open Sans"/>
          <w:color w:val="000000" w:themeColor="text1"/>
          <w:sz w:val="20"/>
          <w:szCs w:val="20"/>
          <w:u w:val="single"/>
        </w:rPr>
        <w:t>Amortizações Extraordinárias de Excedentes</w:t>
      </w:r>
      <w:r w:rsidR="00F45F8B" w:rsidRPr="00216357">
        <w:rPr>
          <w:rFonts w:ascii="Open Sans" w:hAnsi="Open Sans" w:cs="Open Sans"/>
          <w:color w:val="000000" w:themeColor="text1"/>
          <w:sz w:val="20"/>
          <w:szCs w:val="20"/>
        </w:rPr>
        <w:t>”)</w:t>
      </w:r>
      <w:r w:rsidR="00BE4F7B">
        <w:rPr>
          <w:rFonts w:ascii="Open Sans" w:hAnsi="Open Sans" w:cs="Open Sans"/>
          <w:color w:val="000000" w:themeColor="text1"/>
          <w:sz w:val="20"/>
          <w:szCs w:val="20"/>
        </w:rPr>
        <w:t>:</w:t>
      </w:r>
    </w:p>
    <w:p w14:paraId="3E3F9FAB" w14:textId="77777777" w:rsidR="00223B78" w:rsidRPr="00431732" w:rsidRDefault="00223B78" w:rsidP="00223B78">
      <w:pPr>
        <w:pStyle w:val="PargrafodaLista"/>
        <w:widowControl w:val="0"/>
        <w:autoSpaceDE w:val="0"/>
        <w:autoSpaceDN w:val="0"/>
        <w:adjustRightInd w:val="0"/>
        <w:ind w:left="851"/>
        <w:jc w:val="both"/>
        <w:rPr>
          <w:rFonts w:ascii="Open Sans" w:hAnsi="Open Sans" w:cs="Open Sans"/>
          <w:sz w:val="20"/>
          <w:szCs w:val="20"/>
        </w:rPr>
      </w:pPr>
    </w:p>
    <w:p w14:paraId="360D5ADD" w14:textId="25D1EE0D" w:rsidR="008139B6" w:rsidRDefault="00223B78" w:rsidP="00223B78">
      <w:pPr>
        <w:pStyle w:val="Estilo"/>
        <w:pBdr>
          <w:bottom w:val="single" w:sz="4" w:space="1" w:color="auto"/>
        </w:pBdr>
        <w:jc w:val="center"/>
        <w:rPr>
          <w:rFonts w:ascii="Open Sans" w:hAnsi="Open Sans" w:cs="Open Sans"/>
          <w:b/>
          <w:sz w:val="20"/>
          <w:szCs w:val="20"/>
          <w:shd w:val="clear" w:color="auto" w:fill="FFFFFF"/>
        </w:rPr>
      </w:pPr>
      <w:proofErr w:type="gramStart"/>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proofErr w:type="gramEnd"/>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01A63A19" w14:textId="77777777" w:rsidR="00223B78" w:rsidRPr="00431732" w:rsidRDefault="00223B78" w:rsidP="00223B78">
      <w:pPr>
        <w:pStyle w:val="Estilo"/>
        <w:pBdr>
          <w:bottom w:val="single" w:sz="4" w:space="1" w:color="auto"/>
        </w:pBdr>
        <w:jc w:val="both"/>
        <w:rPr>
          <w:rFonts w:ascii="Open Sans" w:hAnsi="Open Sans" w:cs="Open Sans"/>
          <w:sz w:val="20"/>
          <w:szCs w:val="20"/>
          <w:shd w:val="clear" w:color="auto" w:fill="FFFFFF"/>
        </w:rPr>
      </w:pPr>
    </w:p>
    <w:p w14:paraId="3963B06B" w14:textId="6F64B3B0" w:rsidR="008139B6" w:rsidRDefault="008139B6" w:rsidP="00431732">
      <w:pPr>
        <w:pStyle w:val="Estilo"/>
        <w:jc w:val="both"/>
        <w:rPr>
          <w:rFonts w:ascii="Open Sans" w:hAnsi="Open Sans" w:cs="Open Sans"/>
          <w:sz w:val="20"/>
          <w:szCs w:val="20"/>
          <w:shd w:val="clear" w:color="auto" w:fill="FFFFFF"/>
        </w:rPr>
      </w:pPr>
    </w:p>
    <w:p w14:paraId="054E5383" w14:textId="77777777" w:rsidR="00BE4F7B" w:rsidRPr="00431732" w:rsidRDefault="00BE4F7B" w:rsidP="00431732">
      <w:pPr>
        <w:pStyle w:val="Estilo"/>
        <w:jc w:val="both"/>
        <w:rPr>
          <w:rFonts w:ascii="Open Sans" w:hAnsi="Open Sans" w:cs="Open Sans"/>
          <w:sz w:val="20"/>
          <w:szCs w:val="20"/>
          <w:shd w:val="clear" w:color="auto" w:fill="FFFFFF"/>
        </w:rPr>
      </w:pPr>
    </w:p>
    <w:p w14:paraId="7D751EFF" w14:textId="6A9E2696" w:rsidR="00F82E8E" w:rsidRPr="00431732" w:rsidRDefault="00F82E8E" w:rsidP="00F82E8E">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proofErr w:type="spellStart"/>
      <w:r w:rsidRPr="00431732">
        <w:rPr>
          <w:rFonts w:ascii="Open Sans" w:eastAsia="Calibri" w:hAnsi="Open Sans" w:cs="Open Sans"/>
          <w:b/>
          <w:bCs/>
          <w:sz w:val="20"/>
          <w:szCs w:val="20"/>
        </w:rPr>
        <w:t>i</w:t>
      </w:r>
      <w:r w:rsidR="006215B7">
        <w:rPr>
          <w:rFonts w:ascii="Open Sans" w:eastAsia="Calibri" w:hAnsi="Open Sans" w:cs="Open Sans"/>
          <w:b/>
          <w:bCs/>
          <w:sz w:val="20"/>
          <w:szCs w:val="20"/>
        </w:rPr>
        <w:t>i</w:t>
      </w:r>
      <w:r w:rsidRPr="00431732">
        <w:rPr>
          <w:rFonts w:ascii="Open Sans" w:eastAsia="Calibri" w:hAnsi="Open Sans" w:cs="Open Sans"/>
          <w:b/>
          <w:bCs/>
          <w:sz w:val="20"/>
          <w:szCs w:val="20"/>
        </w:rPr>
        <w:t>i</w:t>
      </w:r>
      <w:proofErr w:type="spellEnd"/>
      <w:r w:rsidRPr="00431732">
        <w:rPr>
          <w:rFonts w:ascii="Open Sans" w:eastAsia="Calibri" w:hAnsi="Open Sans" w:cs="Open Sans"/>
          <w:b/>
          <w:bCs/>
          <w:sz w:val="20"/>
          <w:szCs w:val="20"/>
        </w:rPr>
        <w:t>)</w:t>
      </w:r>
      <w:r w:rsidRPr="00431732">
        <w:rPr>
          <w:rFonts w:ascii="Open Sans" w:eastAsia="Calibri" w:hAnsi="Open Sans" w:cs="Open Sans"/>
          <w:b/>
          <w:bCs/>
          <w:sz w:val="20"/>
          <w:szCs w:val="20"/>
        </w:rPr>
        <w:tab/>
      </w:r>
      <w:r w:rsidR="002C0AE4" w:rsidRPr="00216357">
        <w:rPr>
          <w:rFonts w:ascii="Open Sans" w:hAnsi="Open Sans" w:cs="Open Sans"/>
          <w:color w:val="000000" w:themeColor="text1"/>
          <w:sz w:val="20"/>
          <w:szCs w:val="20"/>
        </w:rPr>
        <w:t>aprovação para que seja criado, no Patrimônio Separado, um fundo de despesas operacionais (“</w:t>
      </w:r>
      <w:r w:rsidR="002C0AE4" w:rsidRPr="00216357">
        <w:rPr>
          <w:rFonts w:ascii="Open Sans" w:hAnsi="Open Sans" w:cs="Open Sans"/>
          <w:color w:val="000000" w:themeColor="text1"/>
          <w:sz w:val="20"/>
          <w:szCs w:val="20"/>
          <w:u w:val="single"/>
        </w:rPr>
        <w:t>Fundo de Despesas Operacionais</w:t>
      </w:r>
      <w:r w:rsidR="002C0AE4" w:rsidRPr="00216357">
        <w:rPr>
          <w:rFonts w:ascii="Open Sans" w:hAnsi="Open Sans" w:cs="Open Sans"/>
          <w:color w:val="000000" w:themeColor="text1"/>
          <w:sz w:val="20"/>
          <w:szCs w:val="20"/>
        </w:rPr>
        <w:t>”), sem valor específico, com a finalidade de pagamento das despesas operacionais da Cedente (“</w:t>
      </w:r>
      <w:r w:rsidR="002C0AE4" w:rsidRPr="00216357">
        <w:rPr>
          <w:rFonts w:ascii="Open Sans" w:hAnsi="Open Sans" w:cs="Open Sans"/>
          <w:color w:val="000000" w:themeColor="text1"/>
          <w:sz w:val="20"/>
          <w:szCs w:val="20"/>
          <w:u w:val="single"/>
        </w:rPr>
        <w:t>Despesas Operacionais</w:t>
      </w:r>
      <w:r w:rsidR="002C0AE4" w:rsidRPr="00216357">
        <w:rPr>
          <w:rFonts w:ascii="Open Sans" w:hAnsi="Open Sans" w:cs="Open Sans"/>
          <w:color w:val="000000" w:themeColor="text1"/>
          <w:sz w:val="20"/>
          <w:szCs w:val="20"/>
        </w:rPr>
        <w:t>”), podendo a liberação de recursos de tal Fundo de Despesas Operacionais à Cedente ser realizada sem periodicidade específica, mas, em qualquer caso, mediante prévia aprovação da Securitizadora</w:t>
      </w:r>
      <w:r w:rsidR="00BE4F7B">
        <w:rPr>
          <w:rFonts w:ascii="Open Sans" w:hAnsi="Open Sans" w:cs="Open Sans"/>
          <w:color w:val="000000" w:themeColor="text1"/>
          <w:sz w:val="20"/>
          <w:szCs w:val="20"/>
        </w:rPr>
        <w:t>:</w:t>
      </w:r>
    </w:p>
    <w:p w14:paraId="11330ADC" w14:textId="77777777" w:rsidR="00F82E8E" w:rsidRPr="00431732" w:rsidRDefault="00F82E8E" w:rsidP="00F82E8E">
      <w:pPr>
        <w:pStyle w:val="PargrafodaLista"/>
        <w:widowControl w:val="0"/>
        <w:autoSpaceDE w:val="0"/>
        <w:autoSpaceDN w:val="0"/>
        <w:adjustRightInd w:val="0"/>
        <w:ind w:left="851"/>
        <w:jc w:val="both"/>
        <w:rPr>
          <w:rFonts w:ascii="Open Sans" w:hAnsi="Open Sans" w:cs="Open Sans"/>
          <w:sz w:val="20"/>
          <w:szCs w:val="20"/>
        </w:rPr>
      </w:pPr>
    </w:p>
    <w:p w14:paraId="6E3454E3" w14:textId="77777777" w:rsidR="00F82E8E" w:rsidRDefault="00F82E8E" w:rsidP="00F82E8E">
      <w:pPr>
        <w:pStyle w:val="Estilo"/>
        <w:pBdr>
          <w:bottom w:val="single" w:sz="4" w:space="1" w:color="auto"/>
        </w:pBdr>
        <w:jc w:val="center"/>
        <w:rPr>
          <w:rFonts w:ascii="Open Sans" w:hAnsi="Open Sans" w:cs="Open Sans"/>
          <w:b/>
          <w:sz w:val="20"/>
          <w:szCs w:val="20"/>
          <w:shd w:val="clear" w:color="auto" w:fill="FFFFFF"/>
        </w:rPr>
      </w:pPr>
      <w:proofErr w:type="gramStart"/>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proofErr w:type="gramEnd"/>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68A986CB" w14:textId="77777777" w:rsidR="00F82E8E" w:rsidRPr="00431732" w:rsidRDefault="00F82E8E" w:rsidP="00F82E8E">
      <w:pPr>
        <w:pStyle w:val="Estilo"/>
        <w:pBdr>
          <w:bottom w:val="single" w:sz="4" w:space="1" w:color="auto"/>
        </w:pBdr>
        <w:jc w:val="both"/>
        <w:rPr>
          <w:rFonts w:ascii="Open Sans" w:hAnsi="Open Sans" w:cs="Open Sans"/>
          <w:sz w:val="20"/>
          <w:szCs w:val="20"/>
          <w:shd w:val="clear" w:color="auto" w:fill="FFFFFF"/>
        </w:rPr>
      </w:pPr>
    </w:p>
    <w:p w14:paraId="4AA4FD2D" w14:textId="77777777" w:rsidR="00F82E8E" w:rsidRPr="00431732" w:rsidRDefault="00F82E8E" w:rsidP="00F82E8E">
      <w:pPr>
        <w:pStyle w:val="Estilo"/>
        <w:jc w:val="both"/>
        <w:rPr>
          <w:rFonts w:ascii="Open Sans" w:hAnsi="Open Sans" w:cs="Open Sans"/>
          <w:sz w:val="20"/>
          <w:szCs w:val="20"/>
          <w:shd w:val="clear" w:color="auto" w:fill="FFFFFF"/>
        </w:rPr>
      </w:pPr>
    </w:p>
    <w:p w14:paraId="3691829C" w14:textId="0BF396C4" w:rsidR="00F82E8E" w:rsidRPr="00431732" w:rsidRDefault="00F82E8E" w:rsidP="00F82E8E">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proofErr w:type="spellStart"/>
      <w:r w:rsidRPr="00431732">
        <w:rPr>
          <w:rFonts w:ascii="Open Sans" w:eastAsia="Calibri" w:hAnsi="Open Sans" w:cs="Open Sans"/>
          <w:b/>
          <w:bCs/>
          <w:sz w:val="20"/>
          <w:szCs w:val="20"/>
        </w:rPr>
        <w:t>i</w:t>
      </w:r>
      <w:r w:rsidR="003E1A4F">
        <w:rPr>
          <w:rFonts w:ascii="Open Sans" w:eastAsia="Calibri" w:hAnsi="Open Sans" w:cs="Open Sans"/>
          <w:b/>
          <w:bCs/>
          <w:sz w:val="20"/>
          <w:szCs w:val="20"/>
        </w:rPr>
        <w:t>v</w:t>
      </w:r>
      <w:proofErr w:type="spellEnd"/>
      <w:r w:rsidRPr="00431732">
        <w:rPr>
          <w:rFonts w:ascii="Open Sans" w:eastAsia="Calibri" w:hAnsi="Open Sans" w:cs="Open Sans"/>
          <w:b/>
          <w:bCs/>
          <w:sz w:val="20"/>
          <w:szCs w:val="20"/>
        </w:rPr>
        <w:t>)</w:t>
      </w:r>
      <w:r w:rsidRPr="00431732">
        <w:rPr>
          <w:rFonts w:ascii="Open Sans" w:eastAsia="Calibri" w:hAnsi="Open Sans" w:cs="Open Sans"/>
          <w:b/>
          <w:bCs/>
          <w:sz w:val="20"/>
          <w:szCs w:val="20"/>
        </w:rPr>
        <w:tab/>
      </w:r>
      <w:r w:rsidR="003E1A4F" w:rsidRPr="00216357">
        <w:rPr>
          <w:rFonts w:ascii="Open Sans" w:hAnsi="Open Sans" w:cs="Open Sans"/>
          <w:color w:val="000000" w:themeColor="text1"/>
          <w:sz w:val="20"/>
          <w:szCs w:val="20"/>
        </w:rPr>
        <w:t>caso aprovada a criação do Fundo de Despesas Operacionais, aprovação</w:t>
      </w:r>
      <w:r w:rsidR="00BE4F7B">
        <w:rPr>
          <w:rFonts w:ascii="Open Sans" w:hAnsi="Open Sans" w:cs="Open Sans"/>
          <w:color w:val="000000" w:themeColor="text1"/>
          <w:sz w:val="20"/>
          <w:szCs w:val="20"/>
        </w:rPr>
        <w:t xml:space="preserve"> </w:t>
      </w:r>
      <w:r w:rsidR="003E1A4F" w:rsidRPr="00216357">
        <w:rPr>
          <w:rFonts w:ascii="Open Sans" w:hAnsi="Open Sans" w:cs="Open Sans"/>
          <w:color w:val="000000" w:themeColor="text1"/>
          <w:sz w:val="20"/>
          <w:szCs w:val="20"/>
        </w:rPr>
        <w:t xml:space="preserve">para que seja temporariamente estabelecido um mecanismo de </w:t>
      </w:r>
      <w:r w:rsidR="003E1A4F" w:rsidRPr="00216357">
        <w:rPr>
          <w:rFonts w:ascii="Open Sans" w:hAnsi="Open Sans" w:cs="Open Sans"/>
          <w:i/>
          <w:iCs/>
          <w:color w:val="000000" w:themeColor="text1"/>
          <w:sz w:val="20"/>
          <w:szCs w:val="20"/>
        </w:rPr>
        <w:t xml:space="preserve">cash </w:t>
      </w:r>
      <w:proofErr w:type="spellStart"/>
      <w:r w:rsidR="003E1A4F" w:rsidRPr="00216357">
        <w:rPr>
          <w:rFonts w:ascii="Open Sans" w:hAnsi="Open Sans" w:cs="Open Sans"/>
          <w:i/>
          <w:iCs/>
          <w:color w:val="000000" w:themeColor="text1"/>
          <w:sz w:val="20"/>
          <w:szCs w:val="20"/>
        </w:rPr>
        <w:t>sweep</w:t>
      </w:r>
      <w:proofErr w:type="spellEnd"/>
      <w:r w:rsidR="003E1A4F" w:rsidRPr="00216357">
        <w:rPr>
          <w:rFonts w:ascii="Open Sans" w:hAnsi="Open Sans" w:cs="Open Sans"/>
          <w:color w:val="000000" w:themeColor="text1"/>
          <w:sz w:val="20"/>
          <w:szCs w:val="20"/>
        </w:rPr>
        <w:t xml:space="preserve"> com a finalidade de abastecimento do Fundo de Despesas Operacionais, mecanismo este que: </w:t>
      </w:r>
      <w:r w:rsidR="003E1A4F" w:rsidRPr="00216357">
        <w:rPr>
          <w:rFonts w:ascii="Open Sans" w:hAnsi="Open Sans" w:cs="Open Sans"/>
          <w:b/>
          <w:bCs/>
          <w:color w:val="000000" w:themeColor="text1"/>
          <w:sz w:val="20"/>
          <w:szCs w:val="20"/>
        </w:rPr>
        <w:t>(</w:t>
      </w:r>
      <w:proofErr w:type="spellStart"/>
      <w:r w:rsidR="003E1A4F" w:rsidRPr="00216357">
        <w:rPr>
          <w:rFonts w:ascii="Open Sans" w:hAnsi="Open Sans" w:cs="Open Sans"/>
          <w:b/>
          <w:bCs/>
          <w:color w:val="000000" w:themeColor="text1"/>
          <w:sz w:val="20"/>
          <w:szCs w:val="20"/>
        </w:rPr>
        <w:t>iv.a</w:t>
      </w:r>
      <w:proofErr w:type="spellEnd"/>
      <w:r w:rsidR="003E1A4F" w:rsidRPr="00216357">
        <w:rPr>
          <w:rFonts w:ascii="Open Sans" w:hAnsi="Open Sans" w:cs="Open Sans"/>
          <w:b/>
          <w:bCs/>
          <w:color w:val="000000" w:themeColor="text1"/>
          <w:sz w:val="20"/>
          <w:szCs w:val="20"/>
        </w:rPr>
        <w:t>)</w:t>
      </w:r>
      <w:r w:rsidR="003E1A4F" w:rsidRPr="00216357">
        <w:rPr>
          <w:rFonts w:ascii="Open Sans" w:hAnsi="Open Sans" w:cs="Open Sans"/>
          <w:color w:val="000000" w:themeColor="text1"/>
          <w:sz w:val="20"/>
          <w:szCs w:val="20"/>
        </w:rPr>
        <w:t xml:space="preserve"> consistirá na destinação de 100% (cem por cento) dos recursos que eventualmente seriam pagos à Cedente a título de Saldo Remanescente do Preço de Cessão; e, cumulativamente, </w:t>
      </w:r>
      <w:r w:rsidR="003E1A4F" w:rsidRPr="00216357">
        <w:rPr>
          <w:rFonts w:ascii="Open Sans" w:hAnsi="Open Sans" w:cs="Open Sans"/>
          <w:b/>
          <w:bCs/>
          <w:color w:val="000000" w:themeColor="text1"/>
          <w:sz w:val="20"/>
          <w:szCs w:val="20"/>
        </w:rPr>
        <w:t>(</w:t>
      </w:r>
      <w:proofErr w:type="spellStart"/>
      <w:r w:rsidR="003E1A4F" w:rsidRPr="00216357">
        <w:rPr>
          <w:rFonts w:ascii="Open Sans" w:hAnsi="Open Sans" w:cs="Open Sans"/>
          <w:b/>
          <w:bCs/>
          <w:color w:val="000000" w:themeColor="text1"/>
          <w:sz w:val="20"/>
          <w:szCs w:val="20"/>
        </w:rPr>
        <w:t>iv.b</w:t>
      </w:r>
      <w:proofErr w:type="spellEnd"/>
      <w:r w:rsidR="003E1A4F" w:rsidRPr="00216357">
        <w:rPr>
          <w:rFonts w:ascii="Open Sans" w:hAnsi="Open Sans" w:cs="Open Sans"/>
          <w:b/>
          <w:bCs/>
          <w:color w:val="000000" w:themeColor="text1"/>
          <w:sz w:val="20"/>
          <w:szCs w:val="20"/>
        </w:rPr>
        <w:t>)</w:t>
      </w:r>
      <w:r w:rsidR="003E1A4F" w:rsidRPr="00216357">
        <w:rPr>
          <w:rFonts w:ascii="Open Sans" w:hAnsi="Open Sans" w:cs="Open Sans"/>
          <w:color w:val="000000" w:themeColor="text1"/>
          <w:sz w:val="20"/>
          <w:szCs w:val="20"/>
        </w:rPr>
        <w:t xml:space="preserve"> deverá viger até o mês em que o índice de cobertura de créditos indicar, na apuração da Razão Mínima do Saldo Devedor, valor igual ou superior a 150% (cento e cinquenta por cento) (“</w:t>
      </w:r>
      <w:r w:rsidR="003E1A4F" w:rsidRPr="00216357">
        <w:rPr>
          <w:rFonts w:ascii="Open Sans" w:hAnsi="Open Sans" w:cs="Open Sans"/>
          <w:color w:val="000000" w:themeColor="text1"/>
          <w:sz w:val="20"/>
          <w:szCs w:val="20"/>
          <w:u w:val="single"/>
        </w:rPr>
        <w:t>Evento de Enquadramento Alvo</w:t>
      </w:r>
      <w:r w:rsidR="003E1A4F" w:rsidRPr="00216357">
        <w:rPr>
          <w:rFonts w:ascii="Open Sans" w:hAnsi="Open Sans" w:cs="Open Sans"/>
          <w:color w:val="000000" w:themeColor="text1"/>
          <w:sz w:val="20"/>
          <w:szCs w:val="20"/>
        </w:rPr>
        <w:t>”), independentemente de sua data (“</w:t>
      </w:r>
      <w:r w:rsidR="003E1A4F" w:rsidRPr="00216357">
        <w:rPr>
          <w:rFonts w:ascii="Open Sans" w:hAnsi="Open Sans" w:cs="Open Sans"/>
          <w:color w:val="000000" w:themeColor="text1"/>
          <w:sz w:val="20"/>
          <w:szCs w:val="20"/>
          <w:u w:val="single"/>
        </w:rPr>
        <w:t xml:space="preserve">Mecanismo Resolutivo de </w:t>
      </w:r>
      <w:r w:rsidR="003E1A4F" w:rsidRPr="00216357">
        <w:rPr>
          <w:rFonts w:ascii="Open Sans" w:hAnsi="Open Sans" w:cs="Open Sans"/>
          <w:i/>
          <w:iCs/>
          <w:color w:val="000000" w:themeColor="text1"/>
          <w:sz w:val="20"/>
          <w:szCs w:val="20"/>
          <w:u w:val="single"/>
        </w:rPr>
        <w:t xml:space="preserve">Cash </w:t>
      </w:r>
      <w:proofErr w:type="spellStart"/>
      <w:r w:rsidR="003E1A4F" w:rsidRPr="00216357">
        <w:rPr>
          <w:rFonts w:ascii="Open Sans" w:hAnsi="Open Sans" w:cs="Open Sans"/>
          <w:i/>
          <w:iCs/>
          <w:color w:val="000000" w:themeColor="text1"/>
          <w:sz w:val="20"/>
          <w:szCs w:val="20"/>
          <w:u w:val="single"/>
        </w:rPr>
        <w:t>Sweep</w:t>
      </w:r>
      <w:proofErr w:type="spellEnd"/>
      <w:r w:rsidR="003E1A4F" w:rsidRPr="00216357">
        <w:rPr>
          <w:rFonts w:ascii="Open Sans" w:hAnsi="Open Sans" w:cs="Open Sans"/>
          <w:color w:val="000000" w:themeColor="text1"/>
          <w:sz w:val="20"/>
          <w:szCs w:val="20"/>
        </w:rPr>
        <w:t>”)</w:t>
      </w:r>
      <w:r w:rsidR="00BE4F7B">
        <w:rPr>
          <w:rFonts w:ascii="Open Sans" w:hAnsi="Open Sans" w:cs="Open Sans"/>
          <w:color w:val="000000" w:themeColor="text1"/>
          <w:sz w:val="20"/>
          <w:szCs w:val="20"/>
        </w:rPr>
        <w:t>:</w:t>
      </w:r>
    </w:p>
    <w:p w14:paraId="074C7DA8" w14:textId="77777777" w:rsidR="00F82E8E" w:rsidRPr="00431732" w:rsidRDefault="00F82E8E" w:rsidP="00F82E8E">
      <w:pPr>
        <w:pStyle w:val="PargrafodaLista"/>
        <w:widowControl w:val="0"/>
        <w:autoSpaceDE w:val="0"/>
        <w:autoSpaceDN w:val="0"/>
        <w:adjustRightInd w:val="0"/>
        <w:ind w:left="851"/>
        <w:jc w:val="both"/>
        <w:rPr>
          <w:rFonts w:ascii="Open Sans" w:hAnsi="Open Sans" w:cs="Open Sans"/>
          <w:sz w:val="20"/>
          <w:szCs w:val="20"/>
        </w:rPr>
      </w:pPr>
    </w:p>
    <w:p w14:paraId="1C7D477D" w14:textId="77777777" w:rsidR="00F82E8E" w:rsidRDefault="00F82E8E" w:rsidP="00F82E8E">
      <w:pPr>
        <w:pStyle w:val="Estilo"/>
        <w:pBdr>
          <w:bottom w:val="single" w:sz="4" w:space="1" w:color="auto"/>
        </w:pBdr>
        <w:jc w:val="center"/>
        <w:rPr>
          <w:rFonts w:ascii="Open Sans" w:hAnsi="Open Sans" w:cs="Open Sans"/>
          <w:b/>
          <w:sz w:val="20"/>
          <w:szCs w:val="20"/>
          <w:shd w:val="clear" w:color="auto" w:fill="FFFFFF"/>
        </w:rPr>
      </w:pPr>
      <w:proofErr w:type="gramStart"/>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proofErr w:type="gramEnd"/>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0D2C3565" w14:textId="77777777" w:rsidR="00F82E8E" w:rsidRPr="00431732" w:rsidRDefault="00F82E8E" w:rsidP="00F82E8E">
      <w:pPr>
        <w:pStyle w:val="Estilo"/>
        <w:pBdr>
          <w:bottom w:val="single" w:sz="4" w:space="1" w:color="auto"/>
        </w:pBdr>
        <w:jc w:val="both"/>
        <w:rPr>
          <w:rFonts w:ascii="Open Sans" w:hAnsi="Open Sans" w:cs="Open Sans"/>
          <w:sz w:val="20"/>
          <w:szCs w:val="20"/>
          <w:shd w:val="clear" w:color="auto" w:fill="FFFFFF"/>
        </w:rPr>
      </w:pPr>
    </w:p>
    <w:p w14:paraId="740912E5" w14:textId="77777777" w:rsidR="00F82E8E" w:rsidRPr="00431732" w:rsidRDefault="00F82E8E" w:rsidP="00F82E8E">
      <w:pPr>
        <w:pStyle w:val="Estilo"/>
        <w:jc w:val="both"/>
        <w:rPr>
          <w:rFonts w:ascii="Open Sans" w:hAnsi="Open Sans" w:cs="Open Sans"/>
          <w:sz w:val="20"/>
          <w:szCs w:val="20"/>
          <w:shd w:val="clear" w:color="auto" w:fill="FFFFFF"/>
        </w:rPr>
      </w:pPr>
    </w:p>
    <w:p w14:paraId="1B26C5AB" w14:textId="57FAED53" w:rsidR="00F82E8E" w:rsidRPr="00431732" w:rsidRDefault="00F82E8E" w:rsidP="00F82E8E">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r w:rsidR="003A5912">
        <w:rPr>
          <w:rFonts w:ascii="Open Sans" w:eastAsia="Calibri" w:hAnsi="Open Sans" w:cs="Open Sans"/>
          <w:b/>
          <w:bCs/>
          <w:sz w:val="20"/>
          <w:szCs w:val="20"/>
        </w:rPr>
        <w:t>v</w:t>
      </w:r>
      <w:r w:rsidRPr="00431732">
        <w:rPr>
          <w:rFonts w:ascii="Open Sans" w:eastAsia="Calibri" w:hAnsi="Open Sans" w:cs="Open Sans"/>
          <w:b/>
          <w:bCs/>
          <w:sz w:val="20"/>
          <w:szCs w:val="20"/>
        </w:rPr>
        <w:t>)</w:t>
      </w:r>
      <w:r w:rsidRPr="00431732">
        <w:rPr>
          <w:rFonts w:ascii="Open Sans" w:eastAsia="Calibri" w:hAnsi="Open Sans" w:cs="Open Sans"/>
          <w:b/>
          <w:bCs/>
          <w:sz w:val="20"/>
          <w:szCs w:val="20"/>
        </w:rPr>
        <w:tab/>
      </w:r>
      <w:r w:rsidR="00911964" w:rsidRPr="00216357">
        <w:rPr>
          <w:rFonts w:ascii="Open Sans" w:hAnsi="Open Sans" w:cs="Open Sans"/>
          <w:color w:val="000000" w:themeColor="text1"/>
          <w:sz w:val="20"/>
          <w:szCs w:val="20"/>
        </w:rPr>
        <w:t xml:space="preserve">caso aprovada a criação do Fundo de Despesas Operacionais e o Mecanismo Resolutivo de </w:t>
      </w:r>
      <w:r w:rsidR="00911964" w:rsidRPr="00216357">
        <w:rPr>
          <w:rFonts w:ascii="Open Sans" w:hAnsi="Open Sans" w:cs="Open Sans"/>
          <w:i/>
          <w:iCs/>
          <w:color w:val="000000" w:themeColor="text1"/>
          <w:sz w:val="20"/>
          <w:szCs w:val="20"/>
        </w:rPr>
        <w:t xml:space="preserve">Cash </w:t>
      </w:r>
      <w:proofErr w:type="spellStart"/>
      <w:r w:rsidR="00911964" w:rsidRPr="00216357">
        <w:rPr>
          <w:rFonts w:ascii="Open Sans" w:hAnsi="Open Sans" w:cs="Open Sans"/>
          <w:i/>
          <w:iCs/>
          <w:color w:val="000000" w:themeColor="text1"/>
          <w:sz w:val="20"/>
          <w:szCs w:val="20"/>
        </w:rPr>
        <w:t>Sweep</w:t>
      </w:r>
      <w:proofErr w:type="spellEnd"/>
      <w:r w:rsidR="00911964" w:rsidRPr="00216357">
        <w:rPr>
          <w:rFonts w:ascii="Open Sans" w:hAnsi="Open Sans" w:cs="Open Sans"/>
          <w:color w:val="000000" w:themeColor="text1"/>
          <w:sz w:val="20"/>
          <w:szCs w:val="20"/>
        </w:rPr>
        <w:t>, a aprovação para que os recursos destinados ao Fundo de Despesas Operacionais em determinado mês que sobejarem o montante utilizado para as Despesas Operacionais da Cedente naquele mês (</w:t>
      </w:r>
      <w:r w:rsidR="00911964" w:rsidRPr="00216357">
        <w:rPr>
          <w:rFonts w:ascii="Open Sans" w:hAnsi="Open Sans" w:cs="Open Sans"/>
          <w:i/>
          <w:iCs/>
          <w:color w:val="000000" w:themeColor="text1"/>
          <w:sz w:val="20"/>
          <w:szCs w:val="20"/>
        </w:rPr>
        <w:t>i.e.</w:t>
      </w:r>
      <w:r w:rsidR="00911964" w:rsidRPr="00216357">
        <w:rPr>
          <w:rFonts w:ascii="Open Sans" w:hAnsi="Open Sans" w:cs="Open Sans"/>
          <w:color w:val="000000" w:themeColor="text1"/>
          <w:sz w:val="20"/>
          <w:szCs w:val="20"/>
        </w:rPr>
        <w:t>, os recursos existentes no Fundo de Despesas Operacionais após as liberações relativas às Despesas Operacionais da Cedente em um determinado mês), sejam destinados à realização de amortizações extraordinárias dos CRI até que um Evento de Enquadramento Alvo seja verificado (“</w:t>
      </w:r>
      <w:r w:rsidR="00911964" w:rsidRPr="00216357">
        <w:rPr>
          <w:rFonts w:ascii="Open Sans" w:hAnsi="Open Sans" w:cs="Open Sans"/>
          <w:color w:val="000000" w:themeColor="text1"/>
          <w:sz w:val="20"/>
          <w:szCs w:val="20"/>
          <w:u w:val="single"/>
        </w:rPr>
        <w:t>Amortizações Extraordinárias com Sobejo do Fundo de Despesas Operacionais</w:t>
      </w:r>
      <w:r w:rsidR="00911964" w:rsidRPr="00216357">
        <w:rPr>
          <w:rFonts w:ascii="Open Sans" w:hAnsi="Open Sans" w:cs="Open Sans"/>
          <w:color w:val="000000" w:themeColor="text1"/>
          <w:sz w:val="20"/>
          <w:szCs w:val="20"/>
        </w:rPr>
        <w:t>”)</w:t>
      </w:r>
      <w:r w:rsidR="00BE4F7B">
        <w:rPr>
          <w:rFonts w:ascii="Open Sans" w:hAnsi="Open Sans" w:cs="Open Sans"/>
          <w:color w:val="000000" w:themeColor="text1"/>
          <w:sz w:val="20"/>
          <w:szCs w:val="20"/>
        </w:rPr>
        <w:t>:</w:t>
      </w:r>
    </w:p>
    <w:p w14:paraId="3979E8F2" w14:textId="77777777" w:rsidR="00F82E8E" w:rsidRPr="00431732" w:rsidRDefault="00F82E8E" w:rsidP="00F82E8E">
      <w:pPr>
        <w:pStyle w:val="PargrafodaLista"/>
        <w:widowControl w:val="0"/>
        <w:autoSpaceDE w:val="0"/>
        <w:autoSpaceDN w:val="0"/>
        <w:adjustRightInd w:val="0"/>
        <w:ind w:left="851"/>
        <w:jc w:val="both"/>
        <w:rPr>
          <w:rFonts w:ascii="Open Sans" w:hAnsi="Open Sans" w:cs="Open Sans"/>
          <w:sz w:val="20"/>
          <w:szCs w:val="20"/>
        </w:rPr>
      </w:pPr>
    </w:p>
    <w:p w14:paraId="14EA4BC2" w14:textId="77777777" w:rsidR="00F82E8E" w:rsidRDefault="00F82E8E" w:rsidP="00F82E8E">
      <w:pPr>
        <w:pStyle w:val="Estilo"/>
        <w:pBdr>
          <w:bottom w:val="single" w:sz="4" w:space="1" w:color="auto"/>
        </w:pBdr>
        <w:jc w:val="center"/>
        <w:rPr>
          <w:rFonts w:ascii="Open Sans" w:hAnsi="Open Sans" w:cs="Open Sans"/>
          <w:b/>
          <w:sz w:val="20"/>
          <w:szCs w:val="20"/>
          <w:shd w:val="clear" w:color="auto" w:fill="FFFFFF"/>
        </w:rPr>
      </w:pPr>
      <w:proofErr w:type="gramStart"/>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proofErr w:type="gramEnd"/>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7B68FBA8" w14:textId="77777777" w:rsidR="00F82E8E" w:rsidRPr="00431732" w:rsidRDefault="00F82E8E" w:rsidP="00F82E8E">
      <w:pPr>
        <w:pStyle w:val="Estilo"/>
        <w:pBdr>
          <w:bottom w:val="single" w:sz="4" w:space="1" w:color="auto"/>
        </w:pBdr>
        <w:jc w:val="both"/>
        <w:rPr>
          <w:rFonts w:ascii="Open Sans" w:hAnsi="Open Sans" w:cs="Open Sans"/>
          <w:sz w:val="20"/>
          <w:szCs w:val="20"/>
          <w:shd w:val="clear" w:color="auto" w:fill="FFFFFF"/>
        </w:rPr>
      </w:pPr>
    </w:p>
    <w:p w14:paraId="058B665A" w14:textId="77777777" w:rsidR="00F82E8E" w:rsidRPr="00431732" w:rsidRDefault="00F82E8E" w:rsidP="00F82E8E">
      <w:pPr>
        <w:pStyle w:val="Estilo"/>
        <w:jc w:val="both"/>
        <w:rPr>
          <w:rFonts w:ascii="Open Sans" w:hAnsi="Open Sans" w:cs="Open Sans"/>
          <w:sz w:val="20"/>
          <w:szCs w:val="20"/>
          <w:shd w:val="clear" w:color="auto" w:fill="FFFFFF"/>
        </w:rPr>
      </w:pPr>
    </w:p>
    <w:p w14:paraId="4FE24A29" w14:textId="5DE1C8AD" w:rsidR="00F82E8E" w:rsidRPr="00431732" w:rsidRDefault="00F82E8E" w:rsidP="00F82E8E">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r w:rsidR="006736F6">
        <w:rPr>
          <w:rFonts w:ascii="Open Sans" w:eastAsia="Calibri" w:hAnsi="Open Sans" w:cs="Open Sans"/>
          <w:b/>
          <w:bCs/>
          <w:sz w:val="20"/>
          <w:szCs w:val="20"/>
        </w:rPr>
        <w:t>vi</w:t>
      </w:r>
      <w:r w:rsidRPr="00431732">
        <w:rPr>
          <w:rFonts w:ascii="Open Sans" w:eastAsia="Calibri" w:hAnsi="Open Sans" w:cs="Open Sans"/>
          <w:b/>
          <w:bCs/>
          <w:sz w:val="20"/>
          <w:szCs w:val="20"/>
        </w:rPr>
        <w:t>)</w:t>
      </w:r>
      <w:r w:rsidRPr="00431732">
        <w:rPr>
          <w:rFonts w:ascii="Open Sans" w:eastAsia="Calibri" w:hAnsi="Open Sans" w:cs="Open Sans"/>
          <w:b/>
          <w:bCs/>
          <w:sz w:val="20"/>
          <w:szCs w:val="20"/>
        </w:rPr>
        <w:tab/>
      </w:r>
      <w:r w:rsidR="006736F6" w:rsidRPr="00216357">
        <w:rPr>
          <w:rFonts w:ascii="Open Sans" w:hAnsi="Open Sans" w:cs="Open Sans"/>
          <w:color w:val="000000" w:themeColor="text1"/>
          <w:sz w:val="20"/>
          <w:szCs w:val="20"/>
        </w:rPr>
        <w:t>aprovação para que seja reduzido, com efeitos a partir do mês de referência de abril de 2022, o percentual da Razão Mínima de Garantia do Fluxo Mensal, o qual, caso aprovado, passará a ser, definitivamente, a partir do mês de referência de abril de 2022, de 120% (cento e vinte por cento) (“</w:t>
      </w:r>
      <w:r w:rsidR="006736F6" w:rsidRPr="00216357">
        <w:rPr>
          <w:rFonts w:ascii="Open Sans" w:hAnsi="Open Sans" w:cs="Open Sans"/>
          <w:color w:val="000000" w:themeColor="text1"/>
          <w:sz w:val="20"/>
          <w:szCs w:val="20"/>
          <w:u w:val="single"/>
        </w:rPr>
        <w:t>Redução da Razão Mínima de Garantia do Fluxo Mensal</w:t>
      </w:r>
      <w:r w:rsidR="006736F6" w:rsidRPr="00216357">
        <w:rPr>
          <w:rFonts w:ascii="Open Sans" w:hAnsi="Open Sans" w:cs="Open Sans"/>
          <w:color w:val="000000" w:themeColor="text1"/>
          <w:sz w:val="20"/>
          <w:szCs w:val="20"/>
        </w:rPr>
        <w:t>”)</w:t>
      </w:r>
      <w:r w:rsidR="00BE4F7B">
        <w:rPr>
          <w:rFonts w:ascii="Open Sans" w:hAnsi="Open Sans" w:cs="Open Sans"/>
          <w:color w:val="000000" w:themeColor="text1"/>
          <w:sz w:val="20"/>
          <w:szCs w:val="20"/>
        </w:rPr>
        <w:t>:</w:t>
      </w:r>
    </w:p>
    <w:p w14:paraId="3743DAF7" w14:textId="77777777" w:rsidR="00F82E8E" w:rsidRPr="00431732" w:rsidRDefault="00F82E8E" w:rsidP="00F82E8E">
      <w:pPr>
        <w:pStyle w:val="PargrafodaLista"/>
        <w:widowControl w:val="0"/>
        <w:autoSpaceDE w:val="0"/>
        <w:autoSpaceDN w:val="0"/>
        <w:adjustRightInd w:val="0"/>
        <w:ind w:left="851"/>
        <w:jc w:val="both"/>
        <w:rPr>
          <w:rFonts w:ascii="Open Sans" w:hAnsi="Open Sans" w:cs="Open Sans"/>
          <w:sz w:val="20"/>
          <w:szCs w:val="20"/>
        </w:rPr>
      </w:pPr>
    </w:p>
    <w:p w14:paraId="413407ED" w14:textId="77777777" w:rsidR="00F82E8E" w:rsidRDefault="00F82E8E" w:rsidP="00F82E8E">
      <w:pPr>
        <w:pStyle w:val="Estilo"/>
        <w:pBdr>
          <w:bottom w:val="single" w:sz="4" w:space="1" w:color="auto"/>
        </w:pBdr>
        <w:jc w:val="center"/>
        <w:rPr>
          <w:rFonts w:ascii="Open Sans" w:hAnsi="Open Sans" w:cs="Open Sans"/>
          <w:b/>
          <w:sz w:val="20"/>
          <w:szCs w:val="20"/>
          <w:shd w:val="clear" w:color="auto" w:fill="FFFFFF"/>
        </w:rPr>
      </w:pPr>
      <w:proofErr w:type="gramStart"/>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proofErr w:type="gramEnd"/>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0420F2E8" w14:textId="77777777" w:rsidR="00F82E8E" w:rsidRPr="00431732" w:rsidRDefault="00F82E8E" w:rsidP="00F82E8E">
      <w:pPr>
        <w:pStyle w:val="Estilo"/>
        <w:pBdr>
          <w:bottom w:val="single" w:sz="4" w:space="1" w:color="auto"/>
        </w:pBdr>
        <w:jc w:val="both"/>
        <w:rPr>
          <w:rFonts w:ascii="Open Sans" w:hAnsi="Open Sans" w:cs="Open Sans"/>
          <w:sz w:val="20"/>
          <w:szCs w:val="20"/>
          <w:shd w:val="clear" w:color="auto" w:fill="FFFFFF"/>
        </w:rPr>
      </w:pPr>
    </w:p>
    <w:p w14:paraId="7F135FA8" w14:textId="77777777" w:rsidR="00F82E8E" w:rsidRPr="00431732" w:rsidRDefault="00F82E8E" w:rsidP="00F82E8E">
      <w:pPr>
        <w:pStyle w:val="Estilo"/>
        <w:jc w:val="both"/>
        <w:rPr>
          <w:rFonts w:ascii="Open Sans" w:hAnsi="Open Sans" w:cs="Open Sans"/>
          <w:sz w:val="20"/>
          <w:szCs w:val="20"/>
          <w:shd w:val="clear" w:color="auto" w:fill="FFFFFF"/>
        </w:rPr>
      </w:pPr>
    </w:p>
    <w:p w14:paraId="2549A4C6" w14:textId="587548C6" w:rsidR="00F82E8E" w:rsidRPr="00431732" w:rsidRDefault="00F82E8E" w:rsidP="00F82E8E">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proofErr w:type="spellStart"/>
      <w:r w:rsidR="00DB5177">
        <w:rPr>
          <w:rFonts w:ascii="Open Sans" w:eastAsia="Calibri" w:hAnsi="Open Sans" w:cs="Open Sans"/>
          <w:b/>
          <w:bCs/>
          <w:sz w:val="20"/>
          <w:szCs w:val="20"/>
        </w:rPr>
        <w:t>v</w:t>
      </w:r>
      <w:r w:rsidRPr="00431732">
        <w:rPr>
          <w:rFonts w:ascii="Open Sans" w:eastAsia="Calibri" w:hAnsi="Open Sans" w:cs="Open Sans"/>
          <w:b/>
          <w:bCs/>
          <w:sz w:val="20"/>
          <w:szCs w:val="20"/>
        </w:rPr>
        <w:t>ii</w:t>
      </w:r>
      <w:proofErr w:type="spellEnd"/>
      <w:r w:rsidRPr="00431732">
        <w:rPr>
          <w:rFonts w:ascii="Open Sans" w:eastAsia="Calibri" w:hAnsi="Open Sans" w:cs="Open Sans"/>
          <w:b/>
          <w:bCs/>
          <w:sz w:val="20"/>
          <w:szCs w:val="20"/>
        </w:rPr>
        <w:t>)</w:t>
      </w:r>
      <w:r w:rsidRPr="00431732">
        <w:rPr>
          <w:rFonts w:ascii="Open Sans" w:eastAsia="Calibri" w:hAnsi="Open Sans" w:cs="Open Sans"/>
          <w:b/>
          <w:bCs/>
          <w:sz w:val="20"/>
          <w:szCs w:val="20"/>
        </w:rPr>
        <w:tab/>
      </w:r>
      <w:r w:rsidR="00DB5177" w:rsidRPr="00216357">
        <w:rPr>
          <w:rFonts w:ascii="Open Sans" w:hAnsi="Open Sans" w:cs="Open Sans"/>
          <w:color w:val="000000" w:themeColor="text1"/>
          <w:sz w:val="20"/>
          <w:szCs w:val="20"/>
        </w:rPr>
        <w:t xml:space="preserve">aprovação para que a Razão Mínima de Garantia do Saldo Devedor seja considerada atendida nos períodos a seguir descritos caso sejam verificados os seguintes índices de cobertura de créditos: </w:t>
      </w:r>
      <w:r w:rsidR="00DB5177" w:rsidRPr="00216357">
        <w:rPr>
          <w:rFonts w:ascii="Open Sans" w:hAnsi="Open Sans" w:cs="Open Sans"/>
          <w:b/>
          <w:bCs/>
          <w:color w:val="000000" w:themeColor="text1"/>
          <w:sz w:val="20"/>
          <w:szCs w:val="20"/>
        </w:rPr>
        <w:t>(</w:t>
      </w:r>
      <w:proofErr w:type="spellStart"/>
      <w:r w:rsidR="00DB5177" w:rsidRPr="00216357">
        <w:rPr>
          <w:rFonts w:ascii="Open Sans" w:hAnsi="Open Sans" w:cs="Open Sans"/>
          <w:b/>
          <w:bCs/>
          <w:color w:val="000000" w:themeColor="text1"/>
          <w:sz w:val="20"/>
          <w:szCs w:val="20"/>
        </w:rPr>
        <w:t>vii.a</w:t>
      </w:r>
      <w:proofErr w:type="spellEnd"/>
      <w:r w:rsidR="00DB5177" w:rsidRPr="00216357">
        <w:rPr>
          <w:rFonts w:ascii="Open Sans" w:hAnsi="Open Sans" w:cs="Open Sans"/>
          <w:b/>
          <w:bCs/>
          <w:color w:val="000000" w:themeColor="text1"/>
          <w:sz w:val="20"/>
          <w:szCs w:val="20"/>
        </w:rPr>
        <w:t>)</w:t>
      </w:r>
      <w:r w:rsidR="00DB5177" w:rsidRPr="00216357">
        <w:rPr>
          <w:rFonts w:ascii="Open Sans" w:hAnsi="Open Sans" w:cs="Open Sans"/>
          <w:color w:val="000000" w:themeColor="text1"/>
          <w:sz w:val="20"/>
          <w:szCs w:val="20"/>
        </w:rPr>
        <w:t xml:space="preserve"> 100% (cem por cento) nos meses de competência de março/2021 a dezembro/2021; </w:t>
      </w:r>
      <w:r w:rsidR="00DB5177" w:rsidRPr="00216357">
        <w:rPr>
          <w:rFonts w:ascii="Open Sans" w:hAnsi="Open Sans" w:cs="Open Sans"/>
          <w:b/>
          <w:bCs/>
          <w:color w:val="000000" w:themeColor="text1"/>
          <w:sz w:val="20"/>
          <w:szCs w:val="20"/>
        </w:rPr>
        <w:t>(</w:t>
      </w:r>
      <w:proofErr w:type="spellStart"/>
      <w:r w:rsidR="00DB5177" w:rsidRPr="00216357">
        <w:rPr>
          <w:rFonts w:ascii="Open Sans" w:hAnsi="Open Sans" w:cs="Open Sans"/>
          <w:b/>
          <w:bCs/>
          <w:color w:val="000000" w:themeColor="text1"/>
          <w:sz w:val="20"/>
          <w:szCs w:val="20"/>
        </w:rPr>
        <w:t>vii.b</w:t>
      </w:r>
      <w:proofErr w:type="spellEnd"/>
      <w:r w:rsidR="00DB5177" w:rsidRPr="00216357">
        <w:rPr>
          <w:rFonts w:ascii="Open Sans" w:hAnsi="Open Sans" w:cs="Open Sans"/>
          <w:b/>
          <w:bCs/>
          <w:color w:val="000000" w:themeColor="text1"/>
          <w:sz w:val="20"/>
          <w:szCs w:val="20"/>
        </w:rPr>
        <w:t>)</w:t>
      </w:r>
      <w:r w:rsidR="00DB5177" w:rsidRPr="00216357">
        <w:rPr>
          <w:rFonts w:ascii="Open Sans" w:hAnsi="Open Sans" w:cs="Open Sans"/>
          <w:color w:val="000000" w:themeColor="text1"/>
          <w:sz w:val="20"/>
          <w:szCs w:val="20"/>
        </w:rPr>
        <w:t xml:space="preserve"> 110% (cento e dez por cento) nos meses de competência de janeiro/2022 a dezembro/2022; </w:t>
      </w:r>
      <w:r w:rsidR="00DB5177" w:rsidRPr="00216357">
        <w:rPr>
          <w:rFonts w:ascii="Open Sans" w:hAnsi="Open Sans" w:cs="Open Sans"/>
          <w:b/>
          <w:bCs/>
          <w:color w:val="000000" w:themeColor="text1"/>
          <w:sz w:val="20"/>
          <w:szCs w:val="20"/>
        </w:rPr>
        <w:t>(</w:t>
      </w:r>
      <w:proofErr w:type="spellStart"/>
      <w:r w:rsidR="00DB5177" w:rsidRPr="00216357">
        <w:rPr>
          <w:rFonts w:ascii="Open Sans" w:hAnsi="Open Sans" w:cs="Open Sans"/>
          <w:b/>
          <w:bCs/>
          <w:color w:val="000000" w:themeColor="text1"/>
          <w:sz w:val="20"/>
          <w:szCs w:val="20"/>
        </w:rPr>
        <w:t>vii.c</w:t>
      </w:r>
      <w:proofErr w:type="spellEnd"/>
      <w:r w:rsidR="00DB5177" w:rsidRPr="00216357">
        <w:rPr>
          <w:rFonts w:ascii="Open Sans" w:hAnsi="Open Sans" w:cs="Open Sans"/>
          <w:b/>
          <w:bCs/>
          <w:color w:val="000000" w:themeColor="text1"/>
          <w:sz w:val="20"/>
          <w:szCs w:val="20"/>
        </w:rPr>
        <w:t>)</w:t>
      </w:r>
      <w:r w:rsidR="00DB5177" w:rsidRPr="00216357">
        <w:rPr>
          <w:rFonts w:ascii="Open Sans" w:hAnsi="Open Sans" w:cs="Open Sans"/>
          <w:color w:val="000000" w:themeColor="text1"/>
          <w:sz w:val="20"/>
          <w:szCs w:val="20"/>
        </w:rPr>
        <w:t xml:space="preserve"> 120% (cento e vinte por cento) nos </w:t>
      </w:r>
      <w:r w:rsidR="00DB5177" w:rsidRPr="00216357">
        <w:rPr>
          <w:rFonts w:ascii="Open Sans" w:hAnsi="Open Sans" w:cs="Open Sans"/>
          <w:color w:val="000000" w:themeColor="text1"/>
          <w:sz w:val="20"/>
          <w:szCs w:val="20"/>
        </w:rPr>
        <w:lastRenderedPageBreak/>
        <w:t>meses de competência de janeiro/2023 a junho</w:t>
      </w:r>
      <w:r w:rsidR="00DB5177" w:rsidRPr="00B9373E">
        <w:rPr>
          <w:rFonts w:ascii="Open Sans" w:hAnsi="Open Sans" w:cs="Open Sans"/>
          <w:color w:val="000000" w:themeColor="text1"/>
          <w:sz w:val="20"/>
          <w:szCs w:val="20"/>
        </w:rPr>
        <w:t>/2023; e</w:t>
      </w:r>
      <w:r w:rsidR="00DB5177" w:rsidRPr="00B9373E">
        <w:rPr>
          <w:rFonts w:ascii="Open Sans" w:hAnsi="Open Sans" w:cs="Open Sans"/>
          <w:b/>
          <w:bCs/>
          <w:color w:val="000000" w:themeColor="text1"/>
          <w:sz w:val="20"/>
          <w:szCs w:val="20"/>
        </w:rPr>
        <w:t xml:space="preserve"> (</w:t>
      </w:r>
      <w:proofErr w:type="spellStart"/>
      <w:r w:rsidR="00DB5177" w:rsidRPr="00B9373E">
        <w:rPr>
          <w:rFonts w:ascii="Open Sans" w:hAnsi="Open Sans" w:cs="Open Sans"/>
          <w:b/>
          <w:bCs/>
          <w:color w:val="000000" w:themeColor="text1"/>
          <w:sz w:val="20"/>
          <w:szCs w:val="20"/>
        </w:rPr>
        <w:t>vii.d</w:t>
      </w:r>
      <w:proofErr w:type="spellEnd"/>
      <w:r w:rsidR="00DB5177" w:rsidRPr="00B9373E">
        <w:rPr>
          <w:rFonts w:ascii="Open Sans" w:hAnsi="Open Sans" w:cs="Open Sans"/>
          <w:b/>
          <w:bCs/>
          <w:color w:val="000000" w:themeColor="text1"/>
          <w:sz w:val="20"/>
          <w:szCs w:val="20"/>
        </w:rPr>
        <w:t xml:space="preserve">) </w:t>
      </w:r>
      <w:r w:rsidR="00DB5177" w:rsidRPr="00B9373E">
        <w:rPr>
          <w:rFonts w:ascii="Open Sans" w:hAnsi="Open Sans" w:cs="Open Sans"/>
          <w:color w:val="000000" w:themeColor="text1"/>
          <w:sz w:val="20"/>
          <w:szCs w:val="20"/>
        </w:rPr>
        <w:t>130% (cento e trinta por cento) a partir do mês de competência de julho/2023 (“</w:t>
      </w:r>
      <w:r w:rsidR="00DB5177" w:rsidRPr="00B9373E">
        <w:rPr>
          <w:rFonts w:ascii="Open Sans" w:hAnsi="Open Sans" w:cs="Open Sans"/>
          <w:color w:val="000000" w:themeColor="text1"/>
          <w:sz w:val="20"/>
          <w:szCs w:val="20"/>
          <w:u w:val="single"/>
        </w:rPr>
        <w:t>Alteração Temporária da RMGSD</w:t>
      </w:r>
      <w:r w:rsidR="00DB5177" w:rsidRPr="00B9373E">
        <w:rPr>
          <w:rFonts w:ascii="Open Sans" w:hAnsi="Open Sans" w:cs="Open Sans"/>
          <w:color w:val="000000" w:themeColor="text1"/>
          <w:sz w:val="20"/>
          <w:szCs w:val="20"/>
        </w:rPr>
        <w:t>”)</w:t>
      </w:r>
      <w:r w:rsidR="00BE4F7B">
        <w:rPr>
          <w:rFonts w:ascii="Open Sans" w:hAnsi="Open Sans" w:cs="Open Sans"/>
          <w:color w:val="000000" w:themeColor="text1"/>
          <w:sz w:val="20"/>
          <w:szCs w:val="20"/>
        </w:rPr>
        <w:t>:</w:t>
      </w:r>
    </w:p>
    <w:p w14:paraId="1542F369" w14:textId="77777777" w:rsidR="00F82E8E" w:rsidRPr="00431732" w:rsidRDefault="00F82E8E" w:rsidP="00F82E8E">
      <w:pPr>
        <w:pStyle w:val="PargrafodaLista"/>
        <w:widowControl w:val="0"/>
        <w:autoSpaceDE w:val="0"/>
        <w:autoSpaceDN w:val="0"/>
        <w:adjustRightInd w:val="0"/>
        <w:ind w:left="851"/>
        <w:jc w:val="both"/>
        <w:rPr>
          <w:rFonts w:ascii="Open Sans" w:hAnsi="Open Sans" w:cs="Open Sans"/>
          <w:sz w:val="20"/>
          <w:szCs w:val="20"/>
        </w:rPr>
      </w:pPr>
    </w:p>
    <w:p w14:paraId="4480AE74" w14:textId="77777777" w:rsidR="00F82E8E" w:rsidRDefault="00F82E8E" w:rsidP="00F82E8E">
      <w:pPr>
        <w:pStyle w:val="Estilo"/>
        <w:pBdr>
          <w:bottom w:val="single" w:sz="4" w:space="1" w:color="auto"/>
        </w:pBdr>
        <w:jc w:val="center"/>
        <w:rPr>
          <w:rFonts w:ascii="Open Sans" w:hAnsi="Open Sans" w:cs="Open Sans"/>
          <w:b/>
          <w:sz w:val="20"/>
          <w:szCs w:val="20"/>
          <w:shd w:val="clear" w:color="auto" w:fill="FFFFFF"/>
        </w:rPr>
      </w:pPr>
      <w:proofErr w:type="gramStart"/>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proofErr w:type="gramEnd"/>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17B17188" w14:textId="77777777" w:rsidR="00F82E8E" w:rsidRPr="00431732" w:rsidRDefault="00F82E8E" w:rsidP="00F82E8E">
      <w:pPr>
        <w:pStyle w:val="Estilo"/>
        <w:pBdr>
          <w:bottom w:val="single" w:sz="4" w:space="1" w:color="auto"/>
        </w:pBdr>
        <w:jc w:val="both"/>
        <w:rPr>
          <w:rFonts w:ascii="Open Sans" w:hAnsi="Open Sans" w:cs="Open Sans"/>
          <w:sz w:val="20"/>
          <w:szCs w:val="20"/>
          <w:shd w:val="clear" w:color="auto" w:fill="FFFFFF"/>
        </w:rPr>
      </w:pPr>
    </w:p>
    <w:p w14:paraId="0D5D3CA3" w14:textId="77777777" w:rsidR="00F82E8E" w:rsidRPr="00431732" w:rsidRDefault="00F82E8E" w:rsidP="00F82E8E">
      <w:pPr>
        <w:pStyle w:val="Estilo"/>
        <w:jc w:val="both"/>
        <w:rPr>
          <w:rFonts w:ascii="Open Sans" w:hAnsi="Open Sans" w:cs="Open Sans"/>
          <w:sz w:val="20"/>
          <w:szCs w:val="20"/>
          <w:shd w:val="clear" w:color="auto" w:fill="FFFFFF"/>
        </w:rPr>
      </w:pPr>
    </w:p>
    <w:p w14:paraId="4CEBDE9B" w14:textId="03A08BED" w:rsidR="00F82E8E" w:rsidRPr="00431732" w:rsidRDefault="00F82E8E" w:rsidP="00F82E8E">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proofErr w:type="spellStart"/>
      <w:r w:rsidR="00C5187C">
        <w:rPr>
          <w:rFonts w:ascii="Open Sans" w:eastAsia="Calibri" w:hAnsi="Open Sans" w:cs="Open Sans"/>
          <w:b/>
          <w:bCs/>
          <w:sz w:val="20"/>
          <w:szCs w:val="20"/>
        </w:rPr>
        <w:t>vi</w:t>
      </w:r>
      <w:r w:rsidRPr="00431732">
        <w:rPr>
          <w:rFonts w:ascii="Open Sans" w:eastAsia="Calibri" w:hAnsi="Open Sans" w:cs="Open Sans"/>
          <w:b/>
          <w:bCs/>
          <w:sz w:val="20"/>
          <w:szCs w:val="20"/>
        </w:rPr>
        <w:t>ii</w:t>
      </w:r>
      <w:proofErr w:type="spellEnd"/>
      <w:r w:rsidRPr="00431732">
        <w:rPr>
          <w:rFonts w:ascii="Open Sans" w:eastAsia="Calibri" w:hAnsi="Open Sans" w:cs="Open Sans"/>
          <w:b/>
          <w:bCs/>
          <w:sz w:val="20"/>
          <w:szCs w:val="20"/>
        </w:rPr>
        <w:t>)</w:t>
      </w:r>
      <w:r w:rsidRPr="00431732">
        <w:rPr>
          <w:rFonts w:ascii="Open Sans" w:eastAsia="Calibri" w:hAnsi="Open Sans" w:cs="Open Sans"/>
          <w:b/>
          <w:bCs/>
          <w:sz w:val="20"/>
          <w:szCs w:val="20"/>
        </w:rPr>
        <w:tab/>
      </w:r>
      <w:r w:rsidR="00C5187C" w:rsidRPr="00B9373E">
        <w:rPr>
          <w:rFonts w:ascii="Open Sans" w:hAnsi="Open Sans" w:cs="Open Sans"/>
          <w:color w:val="000000" w:themeColor="text1"/>
          <w:sz w:val="20"/>
          <w:szCs w:val="20"/>
        </w:rPr>
        <w:t>aprovação para que, após a conclusão das obras do Empreendimento Imobiliário (conforme a ser atestado por meio do habite-se ou documento equivalente emitido pelo órgão competente) e, adicionalmente, após a instalação de todos os itens necessários à implantação do Empreendimento Imobiliário (a ser comprovada mediante emissão de relatório do sistema ERP da Cedente), seja alterado o Índice de Atualização Monetária dos CRI de todas as Séries, passando</w:t>
      </w:r>
      <w:r w:rsidR="00C5187C">
        <w:rPr>
          <w:rFonts w:ascii="Open Sans" w:hAnsi="Open Sans" w:cs="Open Sans"/>
          <w:color w:val="000000" w:themeColor="text1"/>
          <w:sz w:val="20"/>
          <w:szCs w:val="20"/>
        </w:rPr>
        <w:t>, com efeitos a partir da data de pagamento subsequente ao que ocorrer por último entre a conclusão das obras e a instalação dos itens acima referidos,</w:t>
      </w:r>
      <w:r w:rsidR="00C5187C" w:rsidRPr="00B9373E">
        <w:rPr>
          <w:rFonts w:ascii="Open Sans" w:hAnsi="Open Sans" w:cs="Open Sans"/>
          <w:color w:val="000000" w:themeColor="text1"/>
          <w:sz w:val="20"/>
          <w:szCs w:val="20"/>
        </w:rPr>
        <w:t xml:space="preserve"> de IGP-M para IPCA (“</w:t>
      </w:r>
      <w:r w:rsidR="00C5187C" w:rsidRPr="00B9373E">
        <w:rPr>
          <w:rFonts w:ascii="Open Sans" w:hAnsi="Open Sans" w:cs="Open Sans"/>
          <w:color w:val="000000" w:themeColor="text1"/>
          <w:sz w:val="20"/>
          <w:szCs w:val="20"/>
          <w:u w:val="single"/>
        </w:rPr>
        <w:t>Alteração do Índice de Atualização Monetária</w:t>
      </w:r>
      <w:r w:rsidR="00C5187C" w:rsidRPr="00B9373E">
        <w:rPr>
          <w:rFonts w:ascii="Open Sans" w:hAnsi="Open Sans" w:cs="Open Sans"/>
          <w:color w:val="000000" w:themeColor="text1"/>
          <w:sz w:val="20"/>
          <w:szCs w:val="20"/>
        </w:rPr>
        <w:t>”)</w:t>
      </w:r>
      <w:r w:rsidR="00BE4F7B">
        <w:rPr>
          <w:rFonts w:ascii="Open Sans" w:hAnsi="Open Sans" w:cs="Open Sans"/>
          <w:color w:val="000000" w:themeColor="text1"/>
          <w:sz w:val="20"/>
          <w:szCs w:val="20"/>
        </w:rPr>
        <w:t>:</w:t>
      </w:r>
    </w:p>
    <w:p w14:paraId="0FC7AC4A" w14:textId="77777777" w:rsidR="00F82E8E" w:rsidRPr="00431732" w:rsidRDefault="00F82E8E" w:rsidP="00F82E8E">
      <w:pPr>
        <w:pStyle w:val="PargrafodaLista"/>
        <w:widowControl w:val="0"/>
        <w:autoSpaceDE w:val="0"/>
        <w:autoSpaceDN w:val="0"/>
        <w:adjustRightInd w:val="0"/>
        <w:ind w:left="851"/>
        <w:jc w:val="both"/>
        <w:rPr>
          <w:rFonts w:ascii="Open Sans" w:hAnsi="Open Sans" w:cs="Open Sans"/>
          <w:sz w:val="20"/>
          <w:szCs w:val="20"/>
        </w:rPr>
      </w:pPr>
    </w:p>
    <w:p w14:paraId="7A294D66" w14:textId="77777777" w:rsidR="00F82E8E" w:rsidRDefault="00F82E8E" w:rsidP="00F82E8E">
      <w:pPr>
        <w:pStyle w:val="Estilo"/>
        <w:pBdr>
          <w:bottom w:val="single" w:sz="4" w:space="1" w:color="auto"/>
        </w:pBdr>
        <w:jc w:val="center"/>
        <w:rPr>
          <w:rFonts w:ascii="Open Sans" w:hAnsi="Open Sans" w:cs="Open Sans"/>
          <w:b/>
          <w:sz w:val="20"/>
          <w:szCs w:val="20"/>
          <w:shd w:val="clear" w:color="auto" w:fill="FFFFFF"/>
        </w:rPr>
      </w:pPr>
      <w:proofErr w:type="gramStart"/>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proofErr w:type="gramEnd"/>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1D8B3CF1" w14:textId="77777777" w:rsidR="00F82E8E" w:rsidRPr="00431732" w:rsidRDefault="00F82E8E" w:rsidP="00F82E8E">
      <w:pPr>
        <w:pStyle w:val="Estilo"/>
        <w:pBdr>
          <w:bottom w:val="single" w:sz="4" w:space="1" w:color="auto"/>
        </w:pBdr>
        <w:jc w:val="both"/>
        <w:rPr>
          <w:rFonts w:ascii="Open Sans" w:hAnsi="Open Sans" w:cs="Open Sans"/>
          <w:sz w:val="20"/>
          <w:szCs w:val="20"/>
          <w:shd w:val="clear" w:color="auto" w:fill="FFFFFF"/>
        </w:rPr>
      </w:pPr>
    </w:p>
    <w:p w14:paraId="01AD98D6" w14:textId="77777777" w:rsidR="00F82E8E" w:rsidRPr="00431732" w:rsidRDefault="00F82E8E" w:rsidP="00F82E8E">
      <w:pPr>
        <w:pStyle w:val="Estilo"/>
        <w:jc w:val="both"/>
        <w:rPr>
          <w:rFonts w:ascii="Open Sans" w:hAnsi="Open Sans" w:cs="Open Sans"/>
          <w:sz w:val="20"/>
          <w:szCs w:val="20"/>
          <w:shd w:val="clear" w:color="auto" w:fill="FFFFFF"/>
        </w:rPr>
      </w:pPr>
    </w:p>
    <w:p w14:paraId="7E907287" w14:textId="381E1B58" w:rsidR="003C3BED" w:rsidRPr="00431732" w:rsidRDefault="003C3BED" w:rsidP="003C3BED">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proofErr w:type="spellStart"/>
      <w:r w:rsidR="00AF5DE0">
        <w:rPr>
          <w:rFonts w:ascii="Open Sans" w:eastAsia="Calibri" w:hAnsi="Open Sans" w:cs="Open Sans"/>
          <w:b/>
          <w:bCs/>
          <w:sz w:val="20"/>
          <w:szCs w:val="20"/>
        </w:rPr>
        <w:t>ix</w:t>
      </w:r>
      <w:proofErr w:type="spellEnd"/>
      <w:r w:rsidRPr="00431732">
        <w:rPr>
          <w:rFonts w:ascii="Open Sans" w:eastAsia="Calibri" w:hAnsi="Open Sans" w:cs="Open Sans"/>
          <w:b/>
          <w:bCs/>
          <w:sz w:val="20"/>
          <w:szCs w:val="20"/>
        </w:rPr>
        <w:t>)</w:t>
      </w:r>
      <w:r w:rsidRPr="00431732">
        <w:rPr>
          <w:rFonts w:ascii="Open Sans" w:eastAsia="Calibri" w:hAnsi="Open Sans" w:cs="Open Sans"/>
          <w:b/>
          <w:bCs/>
          <w:sz w:val="20"/>
          <w:szCs w:val="20"/>
        </w:rPr>
        <w:tab/>
      </w:r>
      <w:r w:rsidR="001D7C58" w:rsidRPr="00B9373E">
        <w:rPr>
          <w:rFonts w:ascii="Open Sans" w:hAnsi="Open Sans" w:cs="Open Sans"/>
          <w:color w:val="000000" w:themeColor="text1"/>
          <w:sz w:val="20"/>
          <w:szCs w:val="20"/>
        </w:rPr>
        <w:t>caso seja aprovada a Alteração do Índice de Atualização Monetária, aprovação da adoção do IGP-M como índice substitutivo imediato nas hipóteses de falta ou impossibilidade de utilização do IPCA para a Atualização Monetária correspondente</w:t>
      </w:r>
      <w:r w:rsidR="00BE4F7B">
        <w:rPr>
          <w:rFonts w:ascii="Open Sans" w:hAnsi="Open Sans" w:cs="Open Sans"/>
          <w:color w:val="000000" w:themeColor="text1"/>
          <w:sz w:val="20"/>
          <w:szCs w:val="20"/>
        </w:rPr>
        <w:t>:</w:t>
      </w:r>
    </w:p>
    <w:p w14:paraId="068696A3" w14:textId="77777777" w:rsidR="003C3BED" w:rsidRPr="00431732" w:rsidRDefault="003C3BED" w:rsidP="003C3BED">
      <w:pPr>
        <w:pStyle w:val="PargrafodaLista"/>
        <w:widowControl w:val="0"/>
        <w:autoSpaceDE w:val="0"/>
        <w:autoSpaceDN w:val="0"/>
        <w:adjustRightInd w:val="0"/>
        <w:ind w:left="851"/>
        <w:jc w:val="both"/>
        <w:rPr>
          <w:rFonts w:ascii="Open Sans" w:hAnsi="Open Sans" w:cs="Open Sans"/>
          <w:sz w:val="20"/>
          <w:szCs w:val="20"/>
        </w:rPr>
      </w:pPr>
    </w:p>
    <w:p w14:paraId="744DACC6" w14:textId="77777777" w:rsidR="003C3BED" w:rsidRDefault="003C3BED" w:rsidP="003C3BED">
      <w:pPr>
        <w:pStyle w:val="Estilo"/>
        <w:pBdr>
          <w:bottom w:val="single" w:sz="4" w:space="1" w:color="auto"/>
        </w:pBdr>
        <w:jc w:val="center"/>
        <w:rPr>
          <w:rFonts w:ascii="Open Sans" w:hAnsi="Open Sans" w:cs="Open Sans"/>
          <w:b/>
          <w:sz w:val="20"/>
          <w:szCs w:val="20"/>
          <w:shd w:val="clear" w:color="auto" w:fill="FFFFFF"/>
        </w:rPr>
      </w:pPr>
      <w:proofErr w:type="gramStart"/>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proofErr w:type="gramEnd"/>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62EA25A8" w14:textId="77777777" w:rsidR="003C3BED" w:rsidRPr="00431732" w:rsidRDefault="003C3BED" w:rsidP="003C3BED">
      <w:pPr>
        <w:pStyle w:val="Estilo"/>
        <w:pBdr>
          <w:bottom w:val="single" w:sz="4" w:space="1" w:color="auto"/>
        </w:pBdr>
        <w:jc w:val="both"/>
        <w:rPr>
          <w:rFonts w:ascii="Open Sans" w:hAnsi="Open Sans" w:cs="Open Sans"/>
          <w:sz w:val="20"/>
          <w:szCs w:val="20"/>
          <w:shd w:val="clear" w:color="auto" w:fill="FFFFFF"/>
        </w:rPr>
      </w:pPr>
    </w:p>
    <w:p w14:paraId="4BB39671" w14:textId="77777777" w:rsidR="003C3BED" w:rsidRPr="00431732" w:rsidRDefault="003C3BED" w:rsidP="003C3BED">
      <w:pPr>
        <w:pStyle w:val="Estilo"/>
        <w:jc w:val="both"/>
        <w:rPr>
          <w:rFonts w:ascii="Open Sans" w:hAnsi="Open Sans" w:cs="Open Sans"/>
          <w:sz w:val="20"/>
          <w:szCs w:val="20"/>
          <w:shd w:val="clear" w:color="auto" w:fill="FFFFFF"/>
        </w:rPr>
      </w:pPr>
    </w:p>
    <w:p w14:paraId="439F42EB" w14:textId="2FBF53C9" w:rsidR="003C3BED" w:rsidRPr="00431732" w:rsidRDefault="003C3BED" w:rsidP="003C3BED">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r w:rsidR="00AF5DE0">
        <w:rPr>
          <w:rFonts w:ascii="Open Sans" w:eastAsia="Calibri" w:hAnsi="Open Sans" w:cs="Open Sans"/>
          <w:b/>
          <w:bCs/>
          <w:sz w:val="20"/>
          <w:szCs w:val="20"/>
        </w:rPr>
        <w:t>x</w:t>
      </w:r>
      <w:r w:rsidRPr="00431732">
        <w:rPr>
          <w:rFonts w:ascii="Open Sans" w:eastAsia="Calibri" w:hAnsi="Open Sans" w:cs="Open Sans"/>
          <w:b/>
          <w:bCs/>
          <w:sz w:val="20"/>
          <w:szCs w:val="20"/>
        </w:rPr>
        <w:t>)</w:t>
      </w:r>
      <w:r w:rsidRPr="00431732">
        <w:rPr>
          <w:rFonts w:ascii="Open Sans" w:eastAsia="Calibri" w:hAnsi="Open Sans" w:cs="Open Sans"/>
          <w:b/>
          <w:bCs/>
          <w:sz w:val="20"/>
          <w:szCs w:val="20"/>
        </w:rPr>
        <w:tab/>
      </w:r>
      <w:r w:rsidR="00583423" w:rsidRPr="005D743F">
        <w:rPr>
          <w:rFonts w:ascii="Open Sans" w:hAnsi="Open Sans" w:cs="Open Sans"/>
          <w:color w:val="000000" w:themeColor="text1"/>
          <w:sz w:val="20"/>
          <w:szCs w:val="20"/>
        </w:rPr>
        <w:t xml:space="preserve">concessão de waiver à Cedente no sentido de abster-se de observar o atendimento </w:t>
      </w:r>
      <w:r w:rsidR="00583423">
        <w:rPr>
          <w:rFonts w:ascii="Open Sans" w:hAnsi="Open Sans" w:cs="Open Sans"/>
          <w:color w:val="000000" w:themeColor="text1"/>
          <w:sz w:val="20"/>
          <w:szCs w:val="20"/>
        </w:rPr>
        <w:t>das condições, precedentes ou não,</w:t>
      </w:r>
      <w:r w:rsidR="00583423" w:rsidRPr="005D743F">
        <w:rPr>
          <w:rFonts w:ascii="Open Sans" w:hAnsi="Open Sans" w:cs="Open Sans"/>
          <w:color w:val="000000" w:themeColor="text1"/>
          <w:sz w:val="20"/>
          <w:szCs w:val="20"/>
        </w:rPr>
        <w:t xml:space="preserve"> </w:t>
      </w:r>
      <w:r w:rsidR="00583423">
        <w:rPr>
          <w:rFonts w:ascii="Open Sans" w:hAnsi="Open Sans" w:cs="Open Sans"/>
          <w:color w:val="000000" w:themeColor="text1"/>
          <w:sz w:val="20"/>
          <w:szCs w:val="20"/>
        </w:rPr>
        <w:t xml:space="preserve">para realização de novas </w:t>
      </w:r>
      <w:r w:rsidR="00583423" w:rsidRPr="005D743F">
        <w:rPr>
          <w:rFonts w:ascii="Open Sans" w:hAnsi="Open Sans" w:cs="Open Sans"/>
          <w:color w:val="000000" w:themeColor="text1"/>
          <w:sz w:val="20"/>
          <w:szCs w:val="20"/>
        </w:rPr>
        <w:t>integralizaç</w:t>
      </w:r>
      <w:r w:rsidR="00583423">
        <w:rPr>
          <w:rFonts w:ascii="Open Sans" w:hAnsi="Open Sans" w:cs="Open Sans"/>
          <w:color w:val="000000" w:themeColor="text1"/>
          <w:sz w:val="20"/>
          <w:szCs w:val="20"/>
        </w:rPr>
        <w:t>ões</w:t>
      </w:r>
      <w:r w:rsidR="00583423" w:rsidRPr="005D743F">
        <w:rPr>
          <w:rFonts w:ascii="Open Sans" w:hAnsi="Open Sans" w:cs="Open Sans"/>
          <w:color w:val="000000" w:themeColor="text1"/>
          <w:sz w:val="20"/>
          <w:szCs w:val="20"/>
        </w:rPr>
        <w:t xml:space="preserve"> de CRI</w:t>
      </w:r>
      <w:r w:rsidR="00583423">
        <w:rPr>
          <w:rFonts w:ascii="Open Sans" w:hAnsi="Open Sans" w:cs="Open Sans"/>
          <w:color w:val="000000" w:themeColor="text1"/>
          <w:sz w:val="20"/>
          <w:szCs w:val="20"/>
        </w:rPr>
        <w:t>,</w:t>
      </w:r>
      <w:r w:rsidR="00583423" w:rsidRPr="005D743F">
        <w:rPr>
          <w:rFonts w:ascii="Open Sans" w:hAnsi="Open Sans" w:cs="Open Sans"/>
          <w:color w:val="000000" w:themeColor="text1"/>
          <w:sz w:val="20"/>
          <w:szCs w:val="20"/>
        </w:rPr>
        <w:t xml:space="preserve"> no montante de até R$47.000.000,00 (quarenta e sete milhões de reais)</w:t>
      </w:r>
      <w:r w:rsidR="00583423">
        <w:rPr>
          <w:rFonts w:ascii="Open Sans" w:hAnsi="Open Sans" w:cs="Open Sans"/>
          <w:color w:val="000000" w:themeColor="text1"/>
          <w:sz w:val="20"/>
          <w:szCs w:val="20"/>
        </w:rPr>
        <w:t xml:space="preserve">, permitindo-se a realização de novas integralizações até o referido montante independentemente do atendimento de suas respectivas condições, precedentes ou não </w:t>
      </w:r>
      <w:r w:rsidR="00583423" w:rsidRPr="005D743F">
        <w:rPr>
          <w:rFonts w:ascii="Open Sans" w:hAnsi="Open Sans" w:cs="Open Sans"/>
          <w:color w:val="000000" w:themeColor="text1"/>
          <w:sz w:val="20"/>
          <w:szCs w:val="20"/>
        </w:rPr>
        <w:t>(“</w:t>
      </w:r>
      <w:r w:rsidR="00583423" w:rsidRPr="00BE4F7B">
        <w:rPr>
          <w:rFonts w:ascii="Open Sans" w:hAnsi="Open Sans" w:cs="Open Sans"/>
          <w:color w:val="000000" w:themeColor="text1"/>
          <w:sz w:val="20"/>
          <w:szCs w:val="20"/>
          <w:u w:val="single"/>
        </w:rPr>
        <w:t>Waiver Novas Integralizações</w:t>
      </w:r>
      <w:r w:rsidR="00583423" w:rsidRPr="005D743F">
        <w:rPr>
          <w:rFonts w:ascii="Open Sans" w:hAnsi="Open Sans" w:cs="Open Sans"/>
          <w:color w:val="000000" w:themeColor="text1"/>
          <w:sz w:val="20"/>
          <w:szCs w:val="20"/>
        </w:rPr>
        <w:t>”)</w:t>
      </w:r>
      <w:r w:rsidR="00BE4F7B">
        <w:rPr>
          <w:rFonts w:ascii="Open Sans" w:hAnsi="Open Sans" w:cs="Open Sans"/>
          <w:color w:val="000000" w:themeColor="text1"/>
          <w:sz w:val="20"/>
          <w:szCs w:val="20"/>
        </w:rPr>
        <w:t>:</w:t>
      </w:r>
    </w:p>
    <w:p w14:paraId="4FD7115B" w14:textId="77777777" w:rsidR="003C3BED" w:rsidRPr="00431732" w:rsidRDefault="003C3BED" w:rsidP="003C3BED">
      <w:pPr>
        <w:pStyle w:val="PargrafodaLista"/>
        <w:widowControl w:val="0"/>
        <w:autoSpaceDE w:val="0"/>
        <w:autoSpaceDN w:val="0"/>
        <w:adjustRightInd w:val="0"/>
        <w:ind w:left="851"/>
        <w:jc w:val="both"/>
        <w:rPr>
          <w:rFonts w:ascii="Open Sans" w:hAnsi="Open Sans" w:cs="Open Sans"/>
          <w:sz w:val="20"/>
          <w:szCs w:val="20"/>
        </w:rPr>
      </w:pPr>
    </w:p>
    <w:p w14:paraId="08C19DB0" w14:textId="77777777" w:rsidR="003C3BED" w:rsidRDefault="003C3BED" w:rsidP="003C3BED">
      <w:pPr>
        <w:pStyle w:val="Estilo"/>
        <w:pBdr>
          <w:bottom w:val="single" w:sz="4" w:space="1" w:color="auto"/>
        </w:pBdr>
        <w:jc w:val="center"/>
        <w:rPr>
          <w:rFonts w:ascii="Open Sans" w:hAnsi="Open Sans" w:cs="Open Sans"/>
          <w:b/>
          <w:sz w:val="20"/>
          <w:szCs w:val="20"/>
          <w:shd w:val="clear" w:color="auto" w:fill="FFFFFF"/>
        </w:rPr>
      </w:pPr>
      <w:proofErr w:type="gramStart"/>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proofErr w:type="gramEnd"/>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06CB234F" w14:textId="77777777" w:rsidR="003C3BED" w:rsidRPr="00431732" w:rsidRDefault="003C3BED" w:rsidP="003C3BED">
      <w:pPr>
        <w:pStyle w:val="Estilo"/>
        <w:pBdr>
          <w:bottom w:val="single" w:sz="4" w:space="1" w:color="auto"/>
        </w:pBdr>
        <w:jc w:val="both"/>
        <w:rPr>
          <w:rFonts w:ascii="Open Sans" w:hAnsi="Open Sans" w:cs="Open Sans"/>
          <w:sz w:val="20"/>
          <w:szCs w:val="20"/>
          <w:shd w:val="clear" w:color="auto" w:fill="FFFFFF"/>
        </w:rPr>
      </w:pPr>
    </w:p>
    <w:p w14:paraId="3A165448" w14:textId="77777777" w:rsidR="003C3BED" w:rsidRPr="00431732" w:rsidRDefault="003C3BED" w:rsidP="003C3BED">
      <w:pPr>
        <w:pStyle w:val="Estilo"/>
        <w:jc w:val="both"/>
        <w:rPr>
          <w:rFonts w:ascii="Open Sans" w:hAnsi="Open Sans" w:cs="Open Sans"/>
          <w:sz w:val="20"/>
          <w:szCs w:val="20"/>
          <w:shd w:val="clear" w:color="auto" w:fill="FFFFFF"/>
        </w:rPr>
      </w:pPr>
    </w:p>
    <w:p w14:paraId="05AC2C0C" w14:textId="0B561337" w:rsidR="003C3BED" w:rsidRPr="00431732" w:rsidRDefault="003C3BED" w:rsidP="003C3BED">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r w:rsidR="00AC64EA">
        <w:rPr>
          <w:rFonts w:ascii="Open Sans" w:eastAsia="Calibri" w:hAnsi="Open Sans" w:cs="Open Sans"/>
          <w:b/>
          <w:bCs/>
          <w:sz w:val="20"/>
          <w:szCs w:val="20"/>
        </w:rPr>
        <w:t>x</w:t>
      </w:r>
      <w:r w:rsidRPr="00431732">
        <w:rPr>
          <w:rFonts w:ascii="Open Sans" w:eastAsia="Calibri" w:hAnsi="Open Sans" w:cs="Open Sans"/>
          <w:b/>
          <w:bCs/>
          <w:sz w:val="20"/>
          <w:szCs w:val="20"/>
        </w:rPr>
        <w:t>i)</w:t>
      </w:r>
      <w:r w:rsidRPr="00431732">
        <w:rPr>
          <w:rFonts w:ascii="Open Sans" w:eastAsia="Calibri" w:hAnsi="Open Sans" w:cs="Open Sans"/>
          <w:b/>
          <w:bCs/>
          <w:sz w:val="20"/>
          <w:szCs w:val="20"/>
        </w:rPr>
        <w:tab/>
      </w:r>
      <w:r w:rsidR="00AC64EA">
        <w:rPr>
          <w:rFonts w:ascii="Open Sans" w:hAnsi="Open Sans" w:cs="Open Sans"/>
          <w:color w:val="000000" w:themeColor="text1"/>
          <w:sz w:val="20"/>
          <w:szCs w:val="20"/>
        </w:rPr>
        <w:t>aprovação para que a Cláusula 5.3.5 do Contrato de Cessão seja aditada nos termos a seguir e que tal redação tenha seus efeitos retroativos à Data de Emissão: “</w:t>
      </w:r>
      <w:r w:rsidR="00AC64EA" w:rsidRPr="00216357">
        <w:rPr>
          <w:rFonts w:ascii="Open Sans" w:hAnsi="Open Sans" w:cs="Open Sans"/>
          <w:i/>
          <w:iCs/>
          <w:color w:val="000000" w:themeColor="text1"/>
          <w:sz w:val="20"/>
          <w:szCs w:val="20"/>
        </w:rPr>
        <w:t>5.3.5. Não obstante os Créditos Cedidos Fiduciariamente estarem vinculados à Cessão Fiduciária a partir da assinatura de cada Contrato Imobiliário, as Partes se comprometem a celebrar “Termo de Cessão Fiduciária”, nos moldes constantes do Anexo III (“</w:t>
      </w:r>
      <w:r w:rsidR="00AC64EA" w:rsidRPr="00216357">
        <w:rPr>
          <w:rFonts w:ascii="Open Sans" w:hAnsi="Open Sans" w:cs="Open Sans"/>
          <w:i/>
          <w:iCs/>
          <w:color w:val="000000" w:themeColor="text1"/>
          <w:sz w:val="20"/>
          <w:szCs w:val="20"/>
          <w:u w:val="single"/>
        </w:rPr>
        <w:t>Termo de Cessão Fiduciária</w:t>
      </w:r>
      <w:r w:rsidR="00AC64EA" w:rsidRPr="00216357">
        <w:rPr>
          <w:rFonts w:ascii="Open Sans" w:hAnsi="Open Sans" w:cs="Open Sans"/>
          <w:i/>
          <w:iCs/>
          <w:color w:val="000000" w:themeColor="text1"/>
          <w:sz w:val="20"/>
          <w:szCs w:val="20"/>
        </w:rPr>
        <w:t>”), em periodicidade de critério da Securitizadora (mas nunca em intervalo menor que o trimestral), para formalizar a inclusão de novos (e/ou a modificação das características de antigos) Contratos Imobiliários, conforme informações recebidas pela Securitizadora e devidas pela Cedente nos termos do Contrato de Servicing. A celebração de tais Termos de Cessão Fiduciária será feita desde que, a critério da Securitizadora, haja necessidade.”</w:t>
      </w:r>
      <w:r w:rsidR="00BE4F7B">
        <w:rPr>
          <w:rFonts w:ascii="Open Sans" w:hAnsi="Open Sans" w:cs="Open Sans"/>
          <w:color w:val="000000" w:themeColor="text1"/>
          <w:sz w:val="20"/>
          <w:szCs w:val="20"/>
        </w:rPr>
        <w:t>:</w:t>
      </w:r>
    </w:p>
    <w:p w14:paraId="39226C53" w14:textId="77777777" w:rsidR="003C3BED" w:rsidRPr="00431732" w:rsidRDefault="003C3BED" w:rsidP="003C3BED">
      <w:pPr>
        <w:pStyle w:val="PargrafodaLista"/>
        <w:widowControl w:val="0"/>
        <w:autoSpaceDE w:val="0"/>
        <w:autoSpaceDN w:val="0"/>
        <w:adjustRightInd w:val="0"/>
        <w:ind w:left="851"/>
        <w:jc w:val="both"/>
        <w:rPr>
          <w:rFonts w:ascii="Open Sans" w:hAnsi="Open Sans" w:cs="Open Sans"/>
          <w:sz w:val="20"/>
          <w:szCs w:val="20"/>
        </w:rPr>
      </w:pPr>
    </w:p>
    <w:p w14:paraId="78A28D2E" w14:textId="77777777" w:rsidR="003C3BED" w:rsidRDefault="003C3BED" w:rsidP="003C3BED">
      <w:pPr>
        <w:pStyle w:val="Estilo"/>
        <w:pBdr>
          <w:bottom w:val="single" w:sz="4" w:space="1" w:color="auto"/>
        </w:pBdr>
        <w:jc w:val="center"/>
        <w:rPr>
          <w:rFonts w:ascii="Open Sans" w:hAnsi="Open Sans" w:cs="Open Sans"/>
          <w:b/>
          <w:sz w:val="20"/>
          <w:szCs w:val="20"/>
          <w:shd w:val="clear" w:color="auto" w:fill="FFFFFF"/>
        </w:rPr>
      </w:pPr>
      <w:proofErr w:type="gramStart"/>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proofErr w:type="gramEnd"/>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0F0F2689" w14:textId="77777777" w:rsidR="003C3BED" w:rsidRPr="00431732" w:rsidRDefault="003C3BED" w:rsidP="003C3BED">
      <w:pPr>
        <w:pStyle w:val="Estilo"/>
        <w:pBdr>
          <w:bottom w:val="single" w:sz="4" w:space="1" w:color="auto"/>
        </w:pBdr>
        <w:jc w:val="both"/>
        <w:rPr>
          <w:rFonts w:ascii="Open Sans" w:hAnsi="Open Sans" w:cs="Open Sans"/>
          <w:sz w:val="20"/>
          <w:szCs w:val="20"/>
          <w:shd w:val="clear" w:color="auto" w:fill="FFFFFF"/>
        </w:rPr>
      </w:pPr>
    </w:p>
    <w:p w14:paraId="5345FCF5" w14:textId="77777777" w:rsidR="003C3BED" w:rsidRPr="00431732" w:rsidRDefault="003C3BED" w:rsidP="003C3BED">
      <w:pPr>
        <w:pStyle w:val="Estilo"/>
        <w:jc w:val="both"/>
        <w:rPr>
          <w:rFonts w:ascii="Open Sans" w:hAnsi="Open Sans" w:cs="Open Sans"/>
          <w:sz w:val="20"/>
          <w:szCs w:val="20"/>
          <w:shd w:val="clear" w:color="auto" w:fill="FFFFFF"/>
        </w:rPr>
      </w:pPr>
    </w:p>
    <w:p w14:paraId="3F061CC5" w14:textId="3CDA4DC8" w:rsidR="003C3BED" w:rsidRPr="00431732" w:rsidRDefault="003C3BED" w:rsidP="003C3BED">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proofErr w:type="spellStart"/>
      <w:r w:rsidR="00482022">
        <w:rPr>
          <w:rFonts w:ascii="Open Sans" w:eastAsia="Calibri" w:hAnsi="Open Sans" w:cs="Open Sans"/>
          <w:b/>
          <w:bCs/>
          <w:sz w:val="20"/>
          <w:szCs w:val="20"/>
        </w:rPr>
        <w:t>x</w:t>
      </w:r>
      <w:r w:rsidRPr="00431732">
        <w:rPr>
          <w:rFonts w:ascii="Open Sans" w:eastAsia="Calibri" w:hAnsi="Open Sans" w:cs="Open Sans"/>
          <w:b/>
          <w:bCs/>
          <w:sz w:val="20"/>
          <w:szCs w:val="20"/>
        </w:rPr>
        <w:t>ii</w:t>
      </w:r>
      <w:proofErr w:type="spellEnd"/>
      <w:r w:rsidRPr="00431732">
        <w:rPr>
          <w:rFonts w:ascii="Open Sans" w:eastAsia="Calibri" w:hAnsi="Open Sans" w:cs="Open Sans"/>
          <w:b/>
          <w:bCs/>
          <w:sz w:val="20"/>
          <w:szCs w:val="20"/>
        </w:rPr>
        <w:t>)</w:t>
      </w:r>
      <w:r w:rsidRPr="00431732">
        <w:rPr>
          <w:rFonts w:ascii="Open Sans" w:eastAsia="Calibri" w:hAnsi="Open Sans" w:cs="Open Sans"/>
          <w:b/>
          <w:bCs/>
          <w:sz w:val="20"/>
          <w:szCs w:val="20"/>
        </w:rPr>
        <w:tab/>
      </w:r>
      <w:r w:rsidR="00482022" w:rsidRPr="00216357">
        <w:rPr>
          <w:rFonts w:ascii="Open Sans" w:hAnsi="Open Sans" w:cs="Open Sans"/>
          <w:color w:val="000000" w:themeColor="text1"/>
          <w:sz w:val="20"/>
          <w:szCs w:val="20"/>
        </w:rPr>
        <w:t>aprovação</w:t>
      </w:r>
      <w:r w:rsidR="00BE4F7B">
        <w:rPr>
          <w:rFonts w:ascii="Open Sans" w:hAnsi="Open Sans" w:cs="Open Sans"/>
          <w:color w:val="000000" w:themeColor="text1"/>
          <w:sz w:val="20"/>
          <w:szCs w:val="20"/>
        </w:rPr>
        <w:t xml:space="preserve"> </w:t>
      </w:r>
      <w:r w:rsidR="00482022" w:rsidRPr="00216357">
        <w:rPr>
          <w:rFonts w:ascii="Open Sans" w:hAnsi="Open Sans" w:cs="Open Sans"/>
          <w:color w:val="000000" w:themeColor="text1"/>
          <w:sz w:val="20"/>
          <w:szCs w:val="20"/>
        </w:rPr>
        <w:t>para que a ocorrência de quaisquer dos seguintes eventos seja considerada uma Hipótese de Recompra Compulsória dos Créditos Imobiliários (“</w:t>
      </w:r>
      <w:r w:rsidR="00482022" w:rsidRPr="00216357">
        <w:rPr>
          <w:rFonts w:ascii="Open Sans" w:hAnsi="Open Sans" w:cs="Open Sans"/>
          <w:color w:val="000000" w:themeColor="text1"/>
          <w:sz w:val="20"/>
          <w:szCs w:val="20"/>
          <w:u w:val="single"/>
        </w:rPr>
        <w:t>Inclusão de Novas Hipóteses de Recompra Compulsória dos Créditos Imobiliários</w:t>
      </w:r>
      <w:r w:rsidR="00482022" w:rsidRPr="00216357">
        <w:rPr>
          <w:rFonts w:ascii="Open Sans" w:hAnsi="Open Sans" w:cs="Open Sans"/>
          <w:color w:val="000000" w:themeColor="text1"/>
          <w:sz w:val="20"/>
          <w:szCs w:val="20"/>
        </w:rPr>
        <w:t xml:space="preserve">”): </w:t>
      </w:r>
      <w:r w:rsidR="00482022" w:rsidRPr="00216357">
        <w:rPr>
          <w:rFonts w:ascii="Open Sans" w:hAnsi="Open Sans" w:cs="Open Sans"/>
          <w:b/>
          <w:bCs/>
          <w:color w:val="000000" w:themeColor="text1"/>
          <w:sz w:val="20"/>
          <w:szCs w:val="20"/>
        </w:rPr>
        <w:t>(</w:t>
      </w:r>
      <w:proofErr w:type="spellStart"/>
      <w:r w:rsidR="00482022" w:rsidRPr="00216357">
        <w:rPr>
          <w:rFonts w:ascii="Open Sans" w:hAnsi="Open Sans" w:cs="Open Sans"/>
          <w:b/>
          <w:bCs/>
          <w:color w:val="000000" w:themeColor="text1"/>
          <w:sz w:val="20"/>
          <w:szCs w:val="20"/>
        </w:rPr>
        <w:t>x</w:t>
      </w:r>
      <w:r w:rsidR="00482022">
        <w:rPr>
          <w:rFonts w:ascii="Open Sans" w:hAnsi="Open Sans" w:cs="Open Sans"/>
          <w:b/>
          <w:bCs/>
          <w:color w:val="000000" w:themeColor="text1"/>
          <w:sz w:val="20"/>
          <w:szCs w:val="20"/>
        </w:rPr>
        <w:t>ii</w:t>
      </w:r>
      <w:r w:rsidR="00482022" w:rsidRPr="00216357">
        <w:rPr>
          <w:rFonts w:ascii="Open Sans" w:hAnsi="Open Sans" w:cs="Open Sans"/>
          <w:b/>
          <w:bCs/>
          <w:color w:val="000000" w:themeColor="text1"/>
          <w:sz w:val="20"/>
          <w:szCs w:val="20"/>
        </w:rPr>
        <w:t>.a</w:t>
      </w:r>
      <w:proofErr w:type="spellEnd"/>
      <w:r w:rsidR="00482022" w:rsidRPr="00216357">
        <w:rPr>
          <w:rFonts w:ascii="Open Sans" w:hAnsi="Open Sans" w:cs="Open Sans"/>
          <w:b/>
          <w:bCs/>
          <w:color w:val="000000" w:themeColor="text1"/>
          <w:sz w:val="20"/>
          <w:szCs w:val="20"/>
        </w:rPr>
        <w:t>)</w:t>
      </w:r>
      <w:r w:rsidR="00482022" w:rsidRPr="00216357">
        <w:rPr>
          <w:rFonts w:ascii="Open Sans" w:hAnsi="Open Sans" w:cs="Open Sans"/>
          <w:color w:val="000000" w:themeColor="text1"/>
          <w:sz w:val="20"/>
          <w:szCs w:val="20"/>
        </w:rPr>
        <w:t xml:space="preserve"> caso venha a ser realizada, independentemente do valor, a contratação de quaisquer mútuos pela Cedente com quaisquer terceiros, a amortização de quaisquer mútuos passivos pela Cedente com quaisquer terceiros (exceto com relação ao mútuo realizado em novembro/2020 junto à </w:t>
      </w:r>
      <w:proofErr w:type="spellStart"/>
      <w:r w:rsidR="00482022" w:rsidRPr="00216357">
        <w:rPr>
          <w:rFonts w:ascii="Open Sans" w:hAnsi="Open Sans" w:cs="Open Sans"/>
          <w:color w:val="000000" w:themeColor="text1"/>
          <w:sz w:val="20"/>
          <w:szCs w:val="20"/>
        </w:rPr>
        <w:t>Montebelo</w:t>
      </w:r>
      <w:proofErr w:type="spellEnd"/>
      <w:r w:rsidR="00482022" w:rsidRPr="00216357">
        <w:rPr>
          <w:rFonts w:ascii="Open Sans" w:hAnsi="Open Sans" w:cs="Open Sans"/>
          <w:color w:val="000000" w:themeColor="text1"/>
          <w:sz w:val="20"/>
          <w:szCs w:val="20"/>
        </w:rPr>
        <w:t xml:space="preserve"> Empreendimentos Ltda., inscrita no CNPJ/ME sob o nº 04.207.511/0001-30, no valor de R$10.000.000,00 (dez milhões de reais)), redução do capital social da Cedente, distribuição e/ou pagamento, pela Cedente, de dividendos, juros sobre o capital próprio ou quaisquer outras distribuições de lucros aos acionistas da Cedente; </w:t>
      </w:r>
      <w:r w:rsidR="00482022" w:rsidRPr="00216357">
        <w:rPr>
          <w:rFonts w:ascii="Open Sans" w:hAnsi="Open Sans" w:cs="Open Sans"/>
          <w:b/>
          <w:bCs/>
          <w:color w:val="000000" w:themeColor="text1"/>
          <w:sz w:val="20"/>
          <w:szCs w:val="20"/>
        </w:rPr>
        <w:t>(</w:t>
      </w:r>
      <w:proofErr w:type="spellStart"/>
      <w:r w:rsidR="00482022" w:rsidRPr="00216357">
        <w:rPr>
          <w:rFonts w:ascii="Open Sans" w:hAnsi="Open Sans" w:cs="Open Sans"/>
          <w:b/>
          <w:bCs/>
          <w:color w:val="000000" w:themeColor="text1"/>
          <w:sz w:val="20"/>
          <w:szCs w:val="20"/>
        </w:rPr>
        <w:t>x</w:t>
      </w:r>
      <w:r w:rsidR="00482022">
        <w:rPr>
          <w:rFonts w:ascii="Open Sans" w:hAnsi="Open Sans" w:cs="Open Sans"/>
          <w:b/>
          <w:bCs/>
          <w:color w:val="000000" w:themeColor="text1"/>
          <w:sz w:val="20"/>
          <w:szCs w:val="20"/>
        </w:rPr>
        <w:t>ii</w:t>
      </w:r>
      <w:r w:rsidR="00482022" w:rsidRPr="00216357">
        <w:rPr>
          <w:rFonts w:ascii="Open Sans" w:hAnsi="Open Sans" w:cs="Open Sans"/>
          <w:b/>
          <w:bCs/>
          <w:color w:val="000000" w:themeColor="text1"/>
          <w:sz w:val="20"/>
          <w:szCs w:val="20"/>
        </w:rPr>
        <w:t>.b</w:t>
      </w:r>
      <w:proofErr w:type="spellEnd"/>
      <w:r w:rsidR="00482022" w:rsidRPr="00216357">
        <w:rPr>
          <w:rFonts w:ascii="Open Sans" w:hAnsi="Open Sans" w:cs="Open Sans"/>
          <w:b/>
          <w:bCs/>
          <w:color w:val="000000" w:themeColor="text1"/>
          <w:sz w:val="20"/>
          <w:szCs w:val="20"/>
        </w:rPr>
        <w:t>)</w:t>
      </w:r>
      <w:r w:rsidR="00482022" w:rsidRPr="00216357">
        <w:rPr>
          <w:rFonts w:ascii="Open Sans" w:hAnsi="Open Sans" w:cs="Open Sans"/>
          <w:color w:val="000000" w:themeColor="text1"/>
          <w:sz w:val="20"/>
          <w:szCs w:val="20"/>
        </w:rPr>
        <w:t xml:space="preserve"> caso a Cedente realize qualquer tipo de renegociação de quaisquer de suas dívidas com qualquer terceiro; e/ou </w:t>
      </w:r>
      <w:r w:rsidR="00482022" w:rsidRPr="00216357">
        <w:rPr>
          <w:rFonts w:ascii="Open Sans" w:hAnsi="Open Sans" w:cs="Open Sans"/>
          <w:b/>
          <w:bCs/>
          <w:color w:val="000000" w:themeColor="text1"/>
          <w:sz w:val="20"/>
          <w:szCs w:val="20"/>
        </w:rPr>
        <w:t>(</w:t>
      </w:r>
      <w:proofErr w:type="spellStart"/>
      <w:r w:rsidR="00482022" w:rsidRPr="00216357">
        <w:rPr>
          <w:rFonts w:ascii="Open Sans" w:hAnsi="Open Sans" w:cs="Open Sans"/>
          <w:b/>
          <w:bCs/>
          <w:color w:val="000000" w:themeColor="text1"/>
          <w:sz w:val="20"/>
          <w:szCs w:val="20"/>
        </w:rPr>
        <w:t>x</w:t>
      </w:r>
      <w:r w:rsidR="00482022">
        <w:rPr>
          <w:rFonts w:ascii="Open Sans" w:hAnsi="Open Sans" w:cs="Open Sans"/>
          <w:b/>
          <w:bCs/>
          <w:color w:val="000000" w:themeColor="text1"/>
          <w:sz w:val="20"/>
          <w:szCs w:val="20"/>
        </w:rPr>
        <w:t>ii</w:t>
      </w:r>
      <w:r w:rsidR="00482022" w:rsidRPr="00216357">
        <w:rPr>
          <w:rFonts w:ascii="Open Sans" w:hAnsi="Open Sans" w:cs="Open Sans"/>
          <w:b/>
          <w:bCs/>
          <w:color w:val="000000" w:themeColor="text1"/>
          <w:sz w:val="20"/>
          <w:szCs w:val="20"/>
        </w:rPr>
        <w:t>.c</w:t>
      </w:r>
      <w:proofErr w:type="spellEnd"/>
      <w:r w:rsidR="00482022" w:rsidRPr="00216357">
        <w:rPr>
          <w:rFonts w:ascii="Open Sans" w:hAnsi="Open Sans" w:cs="Open Sans"/>
          <w:b/>
          <w:bCs/>
          <w:color w:val="000000" w:themeColor="text1"/>
          <w:sz w:val="20"/>
          <w:szCs w:val="20"/>
        </w:rPr>
        <w:t>)</w:t>
      </w:r>
      <w:r w:rsidR="00482022" w:rsidRPr="00216357">
        <w:rPr>
          <w:rFonts w:ascii="Open Sans" w:hAnsi="Open Sans" w:cs="Open Sans"/>
          <w:color w:val="000000" w:themeColor="text1"/>
          <w:sz w:val="20"/>
          <w:szCs w:val="20"/>
        </w:rPr>
        <w:t xml:space="preserve"> caso a Cedente realize a quitação de quaisquer de suas dívidas nas quais estejam vinculados quaisquer recebíveis oriundos da comercialização das unidades do Empreendimento Imobiliário, exceto se, quando da quitação de cada referida dívida, tais recebíveis sejam cedidos fiduciariamente pela Cedente à Securitizadora em garantia do cumprimento das Obrigações Garantidas</w:t>
      </w:r>
      <w:r w:rsidR="00BE4F7B">
        <w:rPr>
          <w:rFonts w:ascii="Open Sans" w:hAnsi="Open Sans" w:cs="Open Sans"/>
          <w:color w:val="000000" w:themeColor="text1"/>
          <w:sz w:val="20"/>
          <w:szCs w:val="20"/>
        </w:rPr>
        <w:t>:</w:t>
      </w:r>
    </w:p>
    <w:p w14:paraId="688A7C45" w14:textId="77777777" w:rsidR="003C3BED" w:rsidRPr="00431732" w:rsidRDefault="003C3BED" w:rsidP="003C3BED">
      <w:pPr>
        <w:pStyle w:val="PargrafodaLista"/>
        <w:widowControl w:val="0"/>
        <w:autoSpaceDE w:val="0"/>
        <w:autoSpaceDN w:val="0"/>
        <w:adjustRightInd w:val="0"/>
        <w:ind w:left="851"/>
        <w:jc w:val="both"/>
        <w:rPr>
          <w:rFonts w:ascii="Open Sans" w:hAnsi="Open Sans" w:cs="Open Sans"/>
          <w:sz w:val="20"/>
          <w:szCs w:val="20"/>
        </w:rPr>
      </w:pPr>
    </w:p>
    <w:p w14:paraId="23CE4094" w14:textId="77777777" w:rsidR="003C3BED" w:rsidRDefault="003C3BED" w:rsidP="003C3BED">
      <w:pPr>
        <w:pStyle w:val="Estilo"/>
        <w:pBdr>
          <w:bottom w:val="single" w:sz="4" w:space="1" w:color="auto"/>
        </w:pBdr>
        <w:jc w:val="center"/>
        <w:rPr>
          <w:rFonts w:ascii="Open Sans" w:hAnsi="Open Sans" w:cs="Open Sans"/>
          <w:b/>
          <w:sz w:val="20"/>
          <w:szCs w:val="20"/>
          <w:shd w:val="clear" w:color="auto" w:fill="FFFFFF"/>
        </w:rPr>
      </w:pPr>
      <w:proofErr w:type="gramStart"/>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proofErr w:type="gramEnd"/>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3A903B9E" w14:textId="77777777" w:rsidR="003C3BED" w:rsidRPr="00431732" w:rsidRDefault="003C3BED" w:rsidP="003C3BED">
      <w:pPr>
        <w:pStyle w:val="Estilo"/>
        <w:pBdr>
          <w:bottom w:val="single" w:sz="4" w:space="1" w:color="auto"/>
        </w:pBdr>
        <w:jc w:val="both"/>
        <w:rPr>
          <w:rFonts w:ascii="Open Sans" w:hAnsi="Open Sans" w:cs="Open Sans"/>
          <w:sz w:val="20"/>
          <w:szCs w:val="20"/>
          <w:shd w:val="clear" w:color="auto" w:fill="FFFFFF"/>
        </w:rPr>
      </w:pPr>
    </w:p>
    <w:p w14:paraId="4A4BEBAC" w14:textId="77777777" w:rsidR="003C3BED" w:rsidRPr="00431732" w:rsidRDefault="003C3BED" w:rsidP="003C3BED">
      <w:pPr>
        <w:pStyle w:val="Estilo"/>
        <w:jc w:val="both"/>
        <w:rPr>
          <w:rFonts w:ascii="Open Sans" w:hAnsi="Open Sans" w:cs="Open Sans"/>
          <w:sz w:val="20"/>
          <w:szCs w:val="20"/>
          <w:shd w:val="clear" w:color="auto" w:fill="FFFFFF"/>
        </w:rPr>
      </w:pPr>
    </w:p>
    <w:p w14:paraId="5D9D0611" w14:textId="382B2F0E" w:rsidR="003C3BED" w:rsidRPr="00431732" w:rsidRDefault="003C3BED" w:rsidP="003C3BED">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proofErr w:type="spellStart"/>
      <w:r w:rsidR="00F14452">
        <w:rPr>
          <w:rFonts w:ascii="Open Sans" w:eastAsia="Calibri" w:hAnsi="Open Sans" w:cs="Open Sans"/>
          <w:b/>
          <w:bCs/>
          <w:sz w:val="20"/>
          <w:szCs w:val="20"/>
        </w:rPr>
        <w:t>x</w:t>
      </w:r>
      <w:r>
        <w:rPr>
          <w:rFonts w:ascii="Open Sans" w:eastAsia="Calibri" w:hAnsi="Open Sans" w:cs="Open Sans"/>
          <w:b/>
          <w:bCs/>
          <w:sz w:val="20"/>
          <w:szCs w:val="20"/>
        </w:rPr>
        <w:t>i</w:t>
      </w:r>
      <w:r w:rsidRPr="00431732">
        <w:rPr>
          <w:rFonts w:ascii="Open Sans" w:eastAsia="Calibri" w:hAnsi="Open Sans" w:cs="Open Sans"/>
          <w:b/>
          <w:bCs/>
          <w:sz w:val="20"/>
          <w:szCs w:val="20"/>
        </w:rPr>
        <w:t>ii</w:t>
      </w:r>
      <w:proofErr w:type="spellEnd"/>
      <w:r w:rsidRPr="00431732">
        <w:rPr>
          <w:rFonts w:ascii="Open Sans" w:eastAsia="Calibri" w:hAnsi="Open Sans" w:cs="Open Sans"/>
          <w:b/>
          <w:bCs/>
          <w:sz w:val="20"/>
          <w:szCs w:val="20"/>
        </w:rPr>
        <w:t>)</w:t>
      </w:r>
      <w:r w:rsidRPr="00431732">
        <w:rPr>
          <w:rFonts w:ascii="Open Sans" w:eastAsia="Calibri" w:hAnsi="Open Sans" w:cs="Open Sans"/>
          <w:b/>
          <w:bCs/>
          <w:sz w:val="20"/>
          <w:szCs w:val="20"/>
        </w:rPr>
        <w:tab/>
      </w:r>
      <w:r w:rsidR="00F14452" w:rsidRPr="00B9373E">
        <w:rPr>
          <w:rFonts w:ascii="Open Sans" w:hAnsi="Open Sans" w:cs="Open Sans"/>
          <w:color w:val="000000" w:themeColor="text1"/>
          <w:sz w:val="20"/>
          <w:szCs w:val="20"/>
        </w:rPr>
        <w:t xml:space="preserve">aprovação da destituição da </w:t>
      </w:r>
      <w:r w:rsidR="00F14452" w:rsidRPr="00B9373E">
        <w:rPr>
          <w:rFonts w:ascii="Open Sans" w:hAnsi="Open Sans" w:cs="Open Sans"/>
          <w:b/>
          <w:bCs/>
          <w:smallCaps/>
          <w:color w:val="000000" w:themeColor="text1"/>
          <w:sz w:val="20"/>
          <w:szCs w:val="20"/>
        </w:rPr>
        <w:t>Vórtx Distribuidora de Títulos e Valores Mobiliários Ltda.</w:t>
      </w:r>
      <w:r w:rsidR="00F14452" w:rsidRPr="00B9373E">
        <w:rPr>
          <w:rFonts w:ascii="Open Sans" w:hAnsi="Open Sans" w:cs="Open Sans"/>
          <w:b/>
          <w:bCs/>
          <w:color w:val="000000" w:themeColor="text1"/>
          <w:sz w:val="20"/>
          <w:szCs w:val="20"/>
        </w:rPr>
        <w:t xml:space="preserve"> </w:t>
      </w:r>
      <w:r w:rsidR="00F14452" w:rsidRPr="00B9373E">
        <w:rPr>
          <w:rFonts w:ascii="Open Sans" w:hAnsi="Open Sans" w:cs="Open Sans"/>
          <w:color w:val="000000" w:themeColor="text1"/>
          <w:sz w:val="20"/>
          <w:szCs w:val="20"/>
        </w:rPr>
        <w:t>enquanto Agente Fiduciário e Custodiante das Cédulas de Crédito Imobiliário (“</w:t>
      </w:r>
      <w:r w:rsidR="00F14452" w:rsidRPr="00B9373E">
        <w:rPr>
          <w:rFonts w:ascii="Open Sans" w:hAnsi="Open Sans" w:cs="Open Sans"/>
          <w:color w:val="000000" w:themeColor="text1"/>
          <w:sz w:val="20"/>
          <w:szCs w:val="20"/>
          <w:u w:val="single"/>
        </w:rPr>
        <w:t>CCI</w:t>
      </w:r>
      <w:r w:rsidR="00F14452" w:rsidRPr="00B9373E">
        <w:rPr>
          <w:rFonts w:ascii="Open Sans" w:hAnsi="Open Sans" w:cs="Open Sans"/>
          <w:color w:val="000000" w:themeColor="text1"/>
          <w:sz w:val="20"/>
          <w:szCs w:val="20"/>
        </w:rPr>
        <w:t xml:space="preserve">”) da operação, mediante a eleição e imediata contratação da </w:t>
      </w:r>
      <w:r w:rsidR="00F14452" w:rsidRPr="00B9373E">
        <w:rPr>
          <w:rFonts w:ascii="Open Sans" w:hAnsi="Open Sans" w:cs="Open Sans"/>
          <w:b/>
          <w:bCs/>
          <w:smallCaps/>
          <w:color w:val="000000" w:themeColor="text1"/>
          <w:sz w:val="20"/>
          <w:szCs w:val="20"/>
        </w:rPr>
        <w:t>Simplific Pavarini Distribuidora de Títulos e Valores Mobiliários Ltda</w:t>
      </w:r>
      <w:r w:rsidR="00F14452" w:rsidRPr="00B9373E">
        <w:rPr>
          <w:rFonts w:ascii="Open Sans" w:hAnsi="Open Sans" w:cs="Open Sans"/>
          <w:b/>
          <w:bCs/>
          <w:color w:val="000000" w:themeColor="text1"/>
          <w:sz w:val="20"/>
          <w:szCs w:val="20"/>
        </w:rPr>
        <w:t xml:space="preserve">. </w:t>
      </w:r>
      <w:r w:rsidR="00F14452" w:rsidRPr="00B9373E">
        <w:rPr>
          <w:rFonts w:ascii="Open Sans" w:hAnsi="Open Sans" w:cs="Open Sans"/>
          <w:color w:val="000000" w:themeColor="text1"/>
          <w:sz w:val="20"/>
          <w:szCs w:val="20"/>
        </w:rPr>
        <w:t>(“</w:t>
      </w:r>
      <w:r w:rsidR="00F14452" w:rsidRPr="00B9373E">
        <w:rPr>
          <w:rFonts w:ascii="Open Sans" w:hAnsi="Open Sans" w:cs="Open Sans"/>
          <w:color w:val="000000" w:themeColor="text1"/>
          <w:sz w:val="20"/>
          <w:szCs w:val="20"/>
          <w:u w:val="single"/>
        </w:rPr>
        <w:t>Novo Agente Fiduciário e Custodiante</w:t>
      </w:r>
      <w:r w:rsidR="00F14452" w:rsidRPr="00B9373E">
        <w:rPr>
          <w:rFonts w:ascii="Open Sans" w:hAnsi="Open Sans" w:cs="Open Sans"/>
          <w:color w:val="000000" w:themeColor="text1"/>
          <w:sz w:val="20"/>
          <w:szCs w:val="20"/>
        </w:rPr>
        <w:t>”) para assunção dos deveres, atribuições e responsabilidades constantes da legislação, do Termo de Securitização e demais Documentos da Operação aplicáveis ao atual agente fiduciário e custodiante</w:t>
      </w:r>
      <w:r w:rsidR="00BE4F7B">
        <w:rPr>
          <w:rFonts w:ascii="Open Sans" w:hAnsi="Open Sans" w:cs="Open Sans"/>
          <w:color w:val="000000" w:themeColor="text1"/>
          <w:sz w:val="20"/>
          <w:szCs w:val="20"/>
        </w:rPr>
        <w:t>:</w:t>
      </w:r>
    </w:p>
    <w:p w14:paraId="6BFE992F" w14:textId="77777777" w:rsidR="003C3BED" w:rsidRPr="00431732" w:rsidRDefault="003C3BED" w:rsidP="003C3BED">
      <w:pPr>
        <w:pStyle w:val="PargrafodaLista"/>
        <w:widowControl w:val="0"/>
        <w:autoSpaceDE w:val="0"/>
        <w:autoSpaceDN w:val="0"/>
        <w:adjustRightInd w:val="0"/>
        <w:ind w:left="851"/>
        <w:jc w:val="both"/>
        <w:rPr>
          <w:rFonts w:ascii="Open Sans" w:hAnsi="Open Sans" w:cs="Open Sans"/>
          <w:sz w:val="20"/>
          <w:szCs w:val="20"/>
        </w:rPr>
      </w:pPr>
    </w:p>
    <w:p w14:paraId="21478634" w14:textId="77777777" w:rsidR="003C3BED" w:rsidRDefault="003C3BED" w:rsidP="003C3BED">
      <w:pPr>
        <w:pStyle w:val="Estilo"/>
        <w:pBdr>
          <w:bottom w:val="single" w:sz="4" w:space="1" w:color="auto"/>
        </w:pBdr>
        <w:jc w:val="center"/>
        <w:rPr>
          <w:rFonts w:ascii="Open Sans" w:hAnsi="Open Sans" w:cs="Open Sans"/>
          <w:b/>
          <w:sz w:val="20"/>
          <w:szCs w:val="20"/>
          <w:shd w:val="clear" w:color="auto" w:fill="FFFFFF"/>
        </w:rPr>
      </w:pPr>
      <w:proofErr w:type="gramStart"/>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proofErr w:type="gramEnd"/>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4FF4428B" w14:textId="77777777" w:rsidR="003C3BED" w:rsidRPr="00431732" w:rsidRDefault="003C3BED" w:rsidP="003C3BED">
      <w:pPr>
        <w:pStyle w:val="Estilo"/>
        <w:pBdr>
          <w:bottom w:val="single" w:sz="4" w:space="1" w:color="auto"/>
        </w:pBdr>
        <w:jc w:val="both"/>
        <w:rPr>
          <w:rFonts w:ascii="Open Sans" w:hAnsi="Open Sans" w:cs="Open Sans"/>
          <w:sz w:val="20"/>
          <w:szCs w:val="20"/>
          <w:shd w:val="clear" w:color="auto" w:fill="FFFFFF"/>
        </w:rPr>
      </w:pPr>
    </w:p>
    <w:p w14:paraId="68A9BD8A" w14:textId="77777777" w:rsidR="003C3BED" w:rsidRPr="00431732" w:rsidRDefault="003C3BED" w:rsidP="003C3BED">
      <w:pPr>
        <w:pStyle w:val="Estilo"/>
        <w:jc w:val="both"/>
        <w:rPr>
          <w:rFonts w:ascii="Open Sans" w:hAnsi="Open Sans" w:cs="Open Sans"/>
          <w:sz w:val="20"/>
          <w:szCs w:val="20"/>
          <w:shd w:val="clear" w:color="auto" w:fill="FFFFFF"/>
        </w:rPr>
      </w:pPr>
    </w:p>
    <w:p w14:paraId="52D93850" w14:textId="7AD13ED8" w:rsidR="003C3BED" w:rsidRPr="00431732" w:rsidRDefault="003C3BED" w:rsidP="003C3BED">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proofErr w:type="spellStart"/>
      <w:r w:rsidR="00B73B75">
        <w:rPr>
          <w:rFonts w:ascii="Open Sans" w:eastAsia="Calibri" w:hAnsi="Open Sans" w:cs="Open Sans"/>
          <w:b/>
          <w:bCs/>
          <w:sz w:val="20"/>
          <w:szCs w:val="20"/>
        </w:rPr>
        <w:t>xiv</w:t>
      </w:r>
      <w:proofErr w:type="spellEnd"/>
      <w:r w:rsidR="00B73B75">
        <w:rPr>
          <w:rFonts w:ascii="Open Sans" w:eastAsia="Calibri" w:hAnsi="Open Sans" w:cs="Open Sans"/>
          <w:b/>
          <w:bCs/>
          <w:sz w:val="20"/>
          <w:szCs w:val="20"/>
        </w:rPr>
        <w:t>)</w:t>
      </w:r>
      <w:r w:rsidRPr="00431732">
        <w:rPr>
          <w:rFonts w:ascii="Open Sans" w:eastAsia="Calibri" w:hAnsi="Open Sans" w:cs="Open Sans"/>
          <w:b/>
          <w:bCs/>
          <w:sz w:val="20"/>
          <w:szCs w:val="20"/>
        </w:rPr>
        <w:tab/>
      </w:r>
      <w:r w:rsidR="00B73B75" w:rsidRPr="00B9373E">
        <w:rPr>
          <w:rFonts w:ascii="Open Sans" w:hAnsi="Open Sans" w:cs="Open Sans"/>
          <w:color w:val="000000" w:themeColor="text1"/>
          <w:sz w:val="20"/>
          <w:szCs w:val="20"/>
        </w:rPr>
        <w:t>aprovação para que a adoção das matérias constantes nos itens (i), (vi), (</w:t>
      </w:r>
      <w:proofErr w:type="spellStart"/>
      <w:r w:rsidR="00B73B75" w:rsidRPr="00B9373E">
        <w:rPr>
          <w:rFonts w:ascii="Open Sans" w:hAnsi="Open Sans" w:cs="Open Sans"/>
          <w:color w:val="000000" w:themeColor="text1"/>
          <w:sz w:val="20"/>
          <w:szCs w:val="20"/>
        </w:rPr>
        <w:t>vii</w:t>
      </w:r>
      <w:proofErr w:type="spellEnd"/>
      <w:r w:rsidR="00B73B75" w:rsidRPr="00B9373E">
        <w:rPr>
          <w:rFonts w:ascii="Open Sans" w:hAnsi="Open Sans" w:cs="Open Sans"/>
          <w:color w:val="000000" w:themeColor="text1"/>
          <w:sz w:val="20"/>
          <w:szCs w:val="20"/>
        </w:rPr>
        <w:t>), (</w:t>
      </w:r>
      <w:proofErr w:type="spellStart"/>
      <w:r w:rsidR="00B73B75" w:rsidRPr="00B9373E">
        <w:rPr>
          <w:rFonts w:ascii="Open Sans" w:hAnsi="Open Sans" w:cs="Open Sans"/>
          <w:color w:val="000000" w:themeColor="text1"/>
          <w:sz w:val="20"/>
          <w:szCs w:val="20"/>
        </w:rPr>
        <w:t>viii</w:t>
      </w:r>
      <w:proofErr w:type="spellEnd"/>
      <w:r w:rsidR="00B73B75" w:rsidRPr="00B9373E">
        <w:rPr>
          <w:rFonts w:ascii="Open Sans" w:hAnsi="Open Sans" w:cs="Open Sans"/>
          <w:color w:val="000000" w:themeColor="text1"/>
          <w:sz w:val="20"/>
          <w:szCs w:val="20"/>
        </w:rPr>
        <w:t>)</w:t>
      </w:r>
      <w:r w:rsidR="00B73B75">
        <w:rPr>
          <w:rFonts w:ascii="Open Sans" w:hAnsi="Open Sans" w:cs="Open Sans"/>
          <w:color w:val="000000" w:themeColor="text1"/>
          <w:sz w:val="20"/>
          <w:szCs w:val="20"/>
        </w:rPr>
        <w:t>,</w:t>
      </w:r>
      <w:r w:rsidR="00B73B75" w:rsidRPr="00B9373E">
        <w:rPr>
          <w:rFonts w:ascii="Open Sans" w:hAnsi="Open Sans" w:cs="Open Sans"/>
          <w:color w:val="000000" w:themeColor="text1"/>
          <w:sz w:val="20"/>
          <w:szCs w:val="20"/>
        </w:rPr>
        <w:t xml:space="preserve"> (</w:t>
      </w:r>
      <w:proofErr w:type="spellStart"/>
      <w:r w:rsidR="00B73B75" w:rsidRPr="00B9373E">
        <w:rPr>
          <w:rFonts w:ascii="Open Sans" w:hAnsi="Open Sans" w:cs="Open Sans"/>
          <w:color w:val="000000" w:themeColor="text1"/>
          <w:sz w:val="20"/>
          <w:szCs w:val="20"/>
        </w:rPr>
        <w:t>ix</w:t>
      </w:r>
      <w:proofErr w:type="spellEnd"/>
      <w:r w:rsidR="00B73B75" w:rsidRPr="00B9373E">
        <w:rPr>
          <w:rFonts w:ascii="Open Sans" w:hAnsi="Open Sans" w:cs="Open Sans"/>
          <w:color w:val="000000" w:themeColor="text1"/>
          <w:sz w:val="20"/>
          <w:szCs w:val="20"/>
        </w:rPr>
        <w:t>)</w:t>
      </w:r>
      <w:r w:rsidR="00B73B75">
        <w:rPr>
          <w:rFonts w:ascii="Open Sans" w:hAnsi="Open Sans" w:cs="Open Sans"/>
          <w:color w:val="000000" w:themeColor="text1"/>
          <w:sz w:val="20"/>
          <w:szCs w:val="20"/>
        </w:rPr>
        <w:t xml:space="preserve"> e (x)</w:t>
      </w:r>
      <w:r w:rsidR="00B73B75" w:rsidRPr="00B9373E">
        <w:rPr>
          <w:rFonts w:ascii="Open Sans" w:hAnsi="Open Sans" w:cs="Open Sans"/>
          <w:color w:val="000000" w:themeColor="text1"/>
          <w:sz w:val="20"/>
          <w:szCs w:val="20"/>
        </w:rPr>
        <w:t xml:space="preserve"> da Ordem do Dia, se aprovadas, estejam condicionadas ao aceite, pela Cedente: </w:t>
      </w:r>
      <w:r w:rsidR="00B73B75" w:rsidRPr="00B9373E">
        <w:rPr>
          <w:rFonts w:ascii="Open Sans" w:hAnsi="Open Sans" w:cs="Open Sans"/>
          <w:b/>
          <w:bCs/>
          <w:color w:val="000000" w:themeColor="text1"/>
          <w:sz w:val="20"/>
          <w:szCs w:val="20"/>
        </w:rPr>
        <w:t>(</w:t>
      </w:r>
      <w:proofErr w:type="spellStart"/>
      <w:r w:rsidR="00B73B75" w:rsidRPr="00B9373E">
        <w:rPr>
          <w:rFonts w:ascii="Open Sans" w:hAnsi="Open Sans" w:cs="Open Sans"/>
          <w:b/>
          <w:bCs/>
          <w:color w:val="000000" w:themeColor="text1"/>
          <w:sz w:val="20"/>
          <w:szCs w:val="20"/>
        </w:rPr>
        <w:t>xi</w:t>
      </w:r>
      <w:r w:rsidR="00B73B75">
        <w:rPr>
          <w:rFonts w:ascii="Open Sans" w:hAnsi="Open Sans" w:cs="Open Sans"/>
          <w:b/>
          <w:bCs/>
          <w:color w:val="000000" w:themeColor="text1"/>
          <w:sz w:val="20"/>
          <w:szCs w:val="20"/>
        </w:rPr>
        <w:t>v</w:t>
      </w:r>
      <w:r w:rsidR="00B73B75" w:rsidRPr="00B9373E">
        <w:rPr>
          <w:rFonts w:ascii="Open Sans" w:hAnsi="Open Sans" w:cs="Open Sans"/>
          <w:b/>
          <w:bCs/>
          <w:color w:val="000000" w:themeColor="text1"/>
          <w:sz w:val="20"/>
          <w:szCs w:val="20"/>
        </w:rPr>
        <w:t>.a</w:t>
      </w:r>
      <w:proofErr w:type="spellEnd"/>
      <w:r w:rsidR="00B73B75" w:rsidRPr="00B9373E">
        <w:rPr>
          <w:rFonts w:ascii="Open Sans" w:hAnsi="Open Sans" w:cs="Open Sans"/>
          <w:b/>
          <w:bCs/>
          <w:color w:val="000000" w:themeColor="text1"/>
          <w:sz w:val="20"/>
          <w:szCs w:val="20"/>
        </w:rPr>
        <w:t>)</w:t>
      </w:r>
      <w:r w:rsidR="00B73B75" w:rsidRPr="00B9373E">
        <w:rPr>
          <w:rFonts w:ascii="Open Sans" w:hAnsi="Open Sans" w:cs="Open Sans"/>
          <w:color w:val="000000" w:themeColor="text1"/>
          <w:sz w:val="20"/>
          <w:szCs w:val="20"/>
        </w:rPr>
        <w:t xml:space="preserve"> da majoração, para 15% (quinze por cento), do valor da multa compensatória a ser calculada sobre o saldo devedor dos CRI, na hipótese de a Cedente pleitear a realização de Recompra Facultativa de Créditos Imobiliários; e </w:t>
      </w:r>
      <w:r w:rsidR="00B73B75" w:rsidRPr="00B9373E">
        <w:rPr>
          <w:rFonts w:ascii="Open Sans" w:hAnsi="Open Sans" w:cs="Open Sans"/>
          <w:b/>
          <w:bCs/>
          <w:color w:val="000000" w:themeColor="text1"/>
          <w:sz w:val="20"/>
          <w:szCs w:val="20"/>
        </w:rPr>
        <w:t>(</w:t>
      </w:r>
      <w:proofErr w:type="spellStart"/>
      <w:r w:rsidR="00B73B75" w:rsidRPr="00B9373E">
        <w:rPr>
          <w:rFonts w:ascii="Open Sans" w:hAnsi="Open Sans" w:cs="Open Sans"/>
          <w:b/>
          <w:bCs/>
          <w:color w:val="000000" w:themeColor="text1"/>
          <w:sz w:val="20"/>
          <w:szCs w:val="20"/>
        </w:rPr>
        <w:t>xi</w:t>
      </w:r>
      <w:r w:rsidR="00B73B75">
        <w:rPr>
          <w:rFonts w:ascii="Open Sans" w:hAnsi="Open Sans" w:cs="Open Sans"/>
          <w:b/>
          <w:bCs/>
          <w:color w:val="000000" w:themeColor="text1"/>
          <w:sz w:val="20"/>
          <w:szCs w:val="20"/>
        </w:rPr>
        <w:t>v</w:t>
      </w:r>
      <w:r w:rsidR="00B73B75" w:rsidRPr="00B9373E">
        <w:rPr>
          <w:rFonts w:ascii="Open Sans" w:hAnsi="Open Sans" w:cs="Open Sans"/>
          <w:b/>
          <w:bCs/>
          <w:color w:val="000000" w:themeColor="text1"/>
          <w:sz w:val="20"/>
          <w:szCs w:val="20"/>
        </w:rPr>
        <w:t>.b</w:t>
      </w:r>
      <w:proofErr w:type="spellEnd"/>
      <w:r w:rsidR="00B73B75" w:rsidRPr="00B9373E">
        <w:rPr>
          <w:rFonts w:ascii="Open Sans" w:hAnsi="Open Sans" w:cs="Open Sans"/>
          <w:b/>
          <w:bCs/>
          <w:color w:val="000000" w:themeColor="text1"/>
          <w:sz w:val="20"/>
          <w:szCs w:val="20"/>
        </w:rPr>
        <w:t>)</w:t>
      </w:r>
      <w:r w:rsidR="00B73B75" w:rsidRPr="00B9373E">
        <w:rPr>
          <w:rFonts w:ascii="Open Sans" w:hAnsi="Open Sans" w:cs="Open Sans"/>
          <w:color w:val="000000" w:themeColor="text1"/>
          <w:sz w:val="20"/>
          <w:szCs w:val="20"/>
        </w:rPr>
        <w:t xml:space="preserve"> de todas as demais deliberações dos Titulares dos CRI constantes desta Assembleia Geral</w:t>
      </w:r>
      <w:r w:rsidR="00BE4F7B">
        <w:rPr>
          <w:rFonts w:ascii="Open Sans" w:hAnsi="Open Sans" w:cs="Open Sans"/>
          <w:color w:val="000000" w:themeColor="text1"/>
          <w:sz w:val="20"/>
          <w:szCs w:val="20"/>
        </w:rPr>
        <w:t>:</w:t>
      </w:r>
    </w:p>
    <w:p w14:paraId="72524574" w14:textId="77777777" w:rsidR="003C3BED" w:rsidRPr="00431732" w:rsidRDefault="003C3BED" w:rsidP="003C3BED">
      <w:pPr>
        <w:pStyle w:val="PargrafodaLista"/>
        <w:widowControl w:val="0"/>
        <w:autoSpaceDE w:val="0"/>
        <w:autoSpaceDN w:val="0"/>
        <w:adjustRightInd w:val="0"/>
        <w:ind w:left="851"/>
        <w:jc w:val="both"/>
        <w:rPr>
          <w:rFonts w:ascii="Open Sans" w:hAnsi="Open Sans" w:cs="Open Sans"/>
          <w:sz w:val="20"/>
          <w:szCs w:val="20"/>
        </w:rPr>
      </w:pPr>
    </w:p>
    <w:p w14:paraId="593F5EA9" w14:textId="77777777" w:rsidR="003C3BED" w:rsidRDefault="003C3BED" w:rsidP="003C3BED">
      <w:pPr>
        <w:pStyle w:val="Estilo"/>
        <w:pBdr>
          <w:bottom w:val="single" w:sz="4" w:space="1" w:color="auto"/>
        </w:pBdr>
        <w:jc w:val="center"/>
        <w:rPr>
          <w:rFonts w:ascii="Open Sans" w:hAnsi="Open Sans" w:cs="Open Sans"/>
          <w:b/>
          <w:sz w:val="20"/>
          <w:szCs w:val="20"/>
          <w:shd w:val="clear" w:color="auto" w:fill="FFFFFF"/>
        </w:rPr>
      </w:pPr>
      <w:proofErr w:type="gramStart"/>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proofErr w:type="gramEnd"/>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6F1F6C68" w14:textId="77777777" w:rsidR="003C3BED" w:rsidRPr="00431732" w:rsidRDefault="003C3BED" w:rsidP="003C3BED">
      <w:pPr>
        <w:pStyle w:val="Estilo"/>
        <w:pBdr>
          <w:bottom w:val="single" w:sz="4" w:space="1" w:color="auto"/>
        </w:pBdr>
        <w:jc w:val="both"/>
        <w:rPr>
          <w:rFonts w:ascii="Open Sans" w:hAnsi="Open Sans" w:cs="Open Sans"/>
          <w:sz w:val="20"/>
          <w:szCs w:val="20"/>
          <w:shd w:val="clear" w:color="auto" w:fill="FFFFFF"/>
        </w:rPr>
      </w:pPr>
    </w:p>
    <w:p w14:paraId="238ECB04" w14:textId="77777777" w:rsidR="003C3BED" w:rsidRPr="00431732" w:rsidRDefault="003C3BED" w:rsidP="003C3BED">
      <w:pPr>
        <w:pStyle w:val="Estilo"/>
        <w:jc w:val="both"/>
        <w:rPr>
          <w:rFonts w:ascii="Open Sans" w:hAnsi="Open Sans" w:cs="Open Sans"/>
          <w:sz w:val="20"/>
          <w:szCs w:val="20"/>
          <w:shd w:val="clear" w:color="auto" w:fill="FFFFFF"/>
        </w:rPr>
      </w:pPr>
    </w:p>
    <w:p w14:paraId="71E59949" w14:textId="31118A35" w:rsidR="00F51CB5" w:rsidRPr="00431732" w:rsidRDefault="00F51CB5" w:rsidP="00F51CB5">
      <w:pPr>
        <w:pStyle w:val="PargrafodaLista"/>
        <w:widowControl w:val="0"/>
        <w:autoSpaceDE w:val="0"/>
        <w:autoSpaceDN w:val="0"/>
        <w:adjustRightInd w:val="0"/>
        <w:ind w:left="0"/>
        <w:jc w:val="both"/>
        <w:rPr>
          <w:rFonts w:ascii="Open Sans" w:eastAsia="Calibri" w:hAnsi="Open Sans" w:cs="Open Sans"/>
          <w:sz w:val="20"/>
          <w:szCs w:val="20"/>
        </w:rPr>
      </w:pPr>
      <w:r w:rsidRPr="00431732">
        <w:rPr>
          <w:rFonts w:ascii="Open Sans" w:eastAsia="Calibri" w:hAnsi="Open Sans" w:cs="Open Sans"/>
          <w:b/>
          <w:bCs/>
          <w:sz w:val="20"/>
          <w:szCs w:val="20"/>
        </w:rPr>
        <w:t>(</w:t>
      </w:r>
      <w:proofErr w:type="spellStart"/>
      <w:r>
        <w:rPr>
          <w:rFonts w:ascii="Open Sans" w:eastAsia="Calibri" w:hAnsi="Open Sans" w:cs="Open Sans"/>
          <w:b/>
          <w:bCs/>
          <w:sz w:val="20"/>
          <w:szCs w:val="20"/>
        </w:rPr>
        <w:t>xv</w:t>
      </w:r>
      <w:proofErr w:type="spellEnd"/>
      <w:r>
        <w:rPr>
          <w:rFonts w:ascii="Open Sans" w:eastAsia="Calibri" w:hAnsi="Open Sans" w:cs="Open Sans"/>
          <w:b/>
          <w:bCs/>
          <w:sz w:val="20"/>
          <w:szCs w:val="20"/>
        </w:rPr>
        <w:t>)</w:t>
      </w:r>
      <w:r w:rsidRPr="00431732">
        <w:rPr>
          <w:rFonts w:ascii="Open Sans" w:eastAsia="Calibri" w:hAnsi="Open Sans" w:cs="Open Sans"/>
          <w:b/>
          <w:bCs/>
          <w:sz w:val="20"/>
          <w:szCs w:val="20"/>
        </w:rPr>
        <w:tab/>
      </w:r>
      <w:r w:rsidR="00BA50C4" w:rsidRPr="00B9373E">
        <w:rPr>
          <w:rFonts w:ascii="Open Sans" w:hAnsi="Open Sans" w:cs="Open Sans"/>
          <w:color w:val="000000" w:themeColor="text1"/>
          <w:sz w:val="20"/>
          <w:szCs w:val="20"/>
        </w:rPr>
        <w:t>autorização para que o Agente Fiduciário, a Securitizadora e o Novo Agente Fiduciário e Custodiante, se eleito, pratiquem todo e qualquer ato, celebrem todos e quaisquer contratos, aditamentos ou documentos necessários para a efetivação e implementação das matérias constantes da Ordem do Dia nos documentos relacionados aos CRI</w:t>
      </w:r>
      <w:r w:rsidR="00BE4F7B">
        <w:rPr>
          <w:rFonts w:ascii="Open Sans" w:hAnsi="Open Sans" w:cs="Open Sans"/>
          <w:color w:val="000000" w:themeColor="text1"/>
          <w:sz w:val="20"/>
          <w:szCs w:val="20"/>
        </w:rPr>
        <w:t>:</w:t>
      </w:r>
    </w:p>
    <w:p w14:paraId="103688B9" w14:textId="77777777" w:rsidR="00F51CB5" w:rsidRPr="00431732" w:rsidRDefault="00F51CB5" w:rsidP="00F51CB5">
      <w:pPr>
        <w:pStyle w:val="PargrafodaLista"/>
        <w:widowControl w:val="0"/>
        <w:autoSpaceDE w:val="0"/>
        <w:autoSpaceDN w:val="0"/>
        <w:adjustRightInd w:val="0"/>
        <w:ind w:left="851"/>
        <w:jc w:val="both"/>
        <w:rPr>
          <w:rFonts w:ascii="Open Sans" w:hAnsi="Open Sans" w:cs="Open Sans"/>
          <w:sz w:val="20"/>
          <w:szCs w:val="20"/>
        </w:rPr>
      </w:pPr>
    </w:p>
    <w:p w14:paraId="1727D6C9" w14:textId="77777777" w:rsidR="00F51CB5" w:rsidRDefault="00F51CB5" w:rsidP="00F51CB5">
      <w:pPr>
        <w:pStyle w:val="Estilo"/>
        <w:pBdr>
          <w:bottom w:val="single" w:sz="4" w:space="1" w:color="auto"/>
        </w:pBdr>
        <w:jc w:val="center"/>
        <w:rPr>
          <w:rFonts w:ascii="Open Sans" w:hAnsi="Open Sans" w:cs="Open Sans"/>
          <w:b/>
          <w:sz w:val="20"/>
          <w:szCs w:val="20"/>
          <w:shd w:val="clear" w:color="auto" w:fill="FFFFFF"/>
        </w:rPr>
      </w:pPr>
      <w:proofErr w:type="gramStart"/>
      <w:r w:rsidRPr="00431732">
        <w:rPr>
          <w:rFonts w:ascii="Open Sans" w:hAnsi="Open Sans" w:cs="Open Sans"/>
          <w:b/>
          <w:sz w:val="20"/>
          <w:szCs w:val="20"/>
          <w:shd w:val="clear" w:color="auto" w:fill="FFFFFF"/>
        </w:rPr>
        <w:t>[</w:t>
      </w:r>
      <w:r>
        <w:rPr>
          <w:rFonts w:ascii="Open Sans" w:hAnsi="Open Sans" w:cs="Open Sans"/>
          <w:b/>
          <w:sz w:val="20"/>
          <w:szCs w:val="20"/>
          <w:shd w:val="clear" w:color="auto" w:fill="FFFFFF"/>
        </w:rPr>
        <w:t xml:space="preserve">  </w:t>
      </w:r>
      <w:proofErr w:type="gramEnd"/>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APROVAR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REJEITAR</w:t>
      </w:r>
      <w:r w:rsidRPr="00431732">
        <w:rPr>
          <w:rFonts w:ascii="Open Sans" w:hAnsi="Open Sans" w:cs="Open Sans"/>
          <w:b/>
          <w:sz w:val="20"/>
          <w:szCs w:val="20"/>
          <w:shd w:val="clear" w:color="auto" w:fill="FFFFFF"/>
        </w:rPr>
        <w:tab/>
      </w:r>
      <w:r w:rsidRPr="00431732">
        <w:rPr>
          <w:rFonts w:ascii="Open Sans" w:hAnsi="Open Sans" w:cs="Open Sans"/>
          <w:b/>
          <w:sz w:val="20"/>
          <w:szCs w:val="20"/>
          <w:shd w:val="clear" w:color="auto" w:fill="FFFFFF"/>
        </w:rPr>
        <w:tab/>
        <w:t>[</w:t>
      </w:r>
      <w:r>
        <w:rPr>
          <w:rFonts w:ascii="Open Sans" w:hAnsi="Open Sans" w:cs="Open Sans"/>
          <w:b/>
          <w:sz w:val="20"/>
          <w:szCs w:val="20"/>
          <w:shd w:val="clear" w:color="auto" w:fill="FFFFFF"/>
        </w:rPr>
        <w:t xml:space="preserve">        </w:t>
      </w:r>
      <w:r w:rsidRPr="00431732">
        <w:rPr>
          <w:rFonts w:ascii="Open Sans" w:hAnsi="Open Sans" w:cs="Open Sans"/>
          <w:b/>
          <w:sz w:val="20"/>
          <w:szCs w:val="20"/>
          <w:shd w:val="clear" w:color="auto" w:fill="FFFFFF"/>
        </w:rPr>
        <w:t>] ABSTER-SE</w:t>
      </w:r>
    </w:p>
    <w:p w14:paraId="6E678B9F" w14:textId="77777777" w:rsidR="00F51CB5" w:rsidRPr="00431732" w:rsidRDefault="00F51CB5" w:rsidP="00F51CB5">
      <w:pPr>
        <w:pStyle w:val="Estilo"/>
        <w:pBdr>
          <w:bottom w:val="single" w:sz="4" w:space="1" w:color="auto"/>
        </w:pBdr>
        <w:jc w:val="both"/>
        <w:rPr>
          <w:rFonts w:ascii="Open Sans" w:hAnsi="Open Sans" w:cs="Open Sans"/>
          <w:sz w:val="20"/>
          <w:szCs w:val="20"/>
          <w:shd w:val="clear" w:color="auto" w:fill="FFFFFF"/>
        </w:rPr>
      </w:pPr>
    </w:p>
    <w:p w14:paraId="15645238" w14:textId="77777777" w:rsidR="00F51CB5" w:rsidRPr="00431732" w:rsidRDefault="00F51CB5" w:rsidP="00F51CB5">
      <w:pPr>
        <w:pStyle w:val="Estilo"/>
        <w:jc w:val="both"/>
        <w:rPr>
          <w:rFonts w:ascii="Open Sans" w:hAnsi="Open Sans" w:cs="Open Sans"/>
          <w:sz w:val="20"/>
          <w:szCs w:val="20"/>
          <w:shd w:val="clear" w:color="auto" w:fill="FFFFFF"/>
        </w:rPr>
      </w:pPr>
    </w:p>
    <w:p w14:paraId="4E40198B" w14:textId="237B6085" w:rsidR="00803FCA" w:rsidRDefault="00803FCA" w:rsidP="00431732">
      <w:pPr>
        <w:rPr>
          <w:rFonts w:ascii="Open Sans" w:eastAsia="Times New Roman" w:hAnsi="Open Sans" w:cs="Open Sans"/>
          <w:sz w:val="20"/>
          <w:szCs w:val="20"/>
          <w:shd w:val="clear" w:color="auto" w:fill="FFFFFF"/>
          <w:lang w:eastAsia="pt-BR"/>
        </w:rPr>
      </w:pPr>
    </w:p>
    <w:p w14:paraId="47114AF3" w14:textId="77777777" w:rsidR="00F82E8E" w:rsidRPr="00431732" w:rsidRDefault="00F82E8E" w:rsidP="00431732">
      <w:pPr>
        <w:rPr>
          <w:rFonts w:ascii="Open Sans" w:eastAsia="Times New Roman" w:hAnsi="Open Sans" w:cs="Open Sans"/>
          <w:sz w:val="20"/>
          <w:szCs w:val="20"/>
          <w:shd w:val="clear" w:color="auto" w:fill="FFFFFF"/>
          <w:lang w:eastAsia="pt-BR"/>
        </w:rPr>
      </w:pPr>
    </w:p>
    <w:tbl>
      <w:tblPr>
        <w:tblStyle w:val="Tabelacomgrade"/>
        <w:tblW w:w="0" w:type="auto"/>
        <w:tblInd w:w="108" w:type="dxa"/>
        <w:tblLook w:val="04A0" w:firstRow="1" w:lastRow="0" w:firstColumn="1" w:lastColumn="0" w:noHBand="0" w:noVBand="1"/>
      </w:tblPr>
      <w:tblGrid>
        <w:gridCol w:w="1447"/>
        <w:gridCol w:w="6790"/>
      </w:tblGrid>
      <w:tr w:rsidR="00FB0D24" w:rsidRPr="00431732" w14:paraId="46CCFA70" w14:textId="77777777" w:rsidTr="00BE4F7B">
        <w:trPr>
          <w:trHeight w:val="624"/>
        </w:trPr>
        <w:tc>
          <w:tcPr>
            <w:tcW w:w="1447" w:type="dxa"/>
            <w:tcBorders>
              <w:right w:val="nil"/>
            </w:tcBorders>
            <w:vAlign w:val="bottom"/>
          </w:tcPr>
          <w:p w14:paraId="13EFE6A0" w14:textId="30F715D2" w:rsidR="00FB0D24" w:rsidRPr="00431732" w:rsidRDefault="00FB0D24" w:rsidP="00BE4F7B">
            <w:pPr>
              <w:pStyle w:val="Estilo"/>
              <w:rPr>
                <w:rFonts w:ascii="Open Sans" w:hAnsi="Open Sans" w:cs="Open Sans"/>
                <w:shd w:val="clear" w:color="auto" w:fill="FFFFFF"/>
              </w:rPr>
            </w:pPr>
            <w:r w:rsidRPr="00431732">
              <w:rPr>
                <w:rFonts w:ascii="Open Sans" w:hAnsi="Open Sans" w:cs="Open Sans"/>
                <w:shd w:val="clear" w:color="auto" w:fill="FFFFFF"/>
              </w:rPr>
              <w:t>Local:</w:t>
            </w:r>
          </w:p>
        </w:tc>
        <w:tc>
          <w:tcPr>
            <w:tcW w:w="6790" w:type="dxa"/>
            <w:tcBorders>
              <w:left w:val="nil"/>
            </w:tcBorders>
            <w:vAlign w:val="bottom"/>
          </w:tcPr>
          <w:p w14:paraId="756F383A" w14:textId="77777777" w:rsidR="00FB0D24" w:rsidRPr="00431732" w:rsidRDefault="00FB0D24" w:rsidP="00BE4F7B">
            <w:pPr>
              <w:pStyle w:val="Estilo"/>
              <w:rPr>
                <w:rFonts w:ascii="Open Sans" w:hAnsi="Open Sans" w:cs="Open Sans"/>
                <w:shd w:val="clear" w:color="auto" w:fill="FFFFFF"/>
              </w:rPr>
            </w:pPr>
          </w:p>
        </w:tc>
      </w:tr>
      <w:tr w:rsidR="00FB0D24" w:rsidRPr="00431732" w14:paraId="2B19C7FD" w14:textId="77777777" w:rsidTr="00BE4F7B">
        <w:trPr>
          <w:trHeight w:val="911"/>
        </w:trPr>
        <w:tc>
          <w:tcPr>
            <w:tcW w:w="1447" w:type="dxa"/>
            <w:tcBorders>
              <w:right w:val="nil"/>
            </w:tcBorders>
            <w:vAlign w:val="bottom"/>
          </w:tcPr>
          <w:p w14:paraId="4B707C5B" w14:textId="120CF275" w:rsidR="00FB0D24" w:rsidRPr="00431732" w:rsidRDefault="00FB0D24" w:rsidP="00BE4F7B">
            <w:pPr>
              <w:pStyle w:val="Estilo"/>
              <w:rPr>
                <w:rFonts w:ascii="Open Sans" w:hAnsi="Open Sans" w:cs="Open Sans"/>
                <w:shd w:val="clear" w:color="auto" w:fill="FFFFFF"/>
              </w:rPr>
            </w:pPr>
            <w:r w:rsidRPr="00431732">
              <w:rPr>
                <w:rFonts w:ascii="Open Sans" w:hAnsi="Open Sans" w:cs="Open Sans"/>
                <w:shd w:val="clear" w:color="auto" w:fill="FFFFFF"/>
              </w:rPr>
              <w:t>Data:</w:t>
            </w:r>
          </w:p>
        </w:tc>
        <w:tc>
          <w:tcPr>
            <w:tcW w:w="6790" w:type="dxa"/>
            <w:tcBorders>
              <w:left w:val="nil"/>
            </w:tcBorders>
            <w:vAlign w:val="bottom"/>
          </w:tcPr>
          <w:p w14:paraId="355F7BB6" w14:textId="77777777" w:rsidR="00FB0D24" w:rsidRPr="00431732" w:rsidRDefault="00FB0D24" w:rsidP="00BE4F7B">
            <w:pPr>
              <w:pStyle w:val="Estilo"/>
              <w:jc w:val="right"/>
              <w:rPr>
                <w:rFonts w:ascii="Open Sans" w:hAnsi="Open Sans" w:cs="Open Sans"/>
                <w:shd w:val="clear" w:color="auto" w:fill="FFFFFF"/>
              </w:rPr>
            </w:pPr>
          </w:p>
        </w:tc>
      </w:tr>
      <w:tr w:rsidR="00FB0D24" w:rsidRPr="00431732" w14:paraId="1B5C9A67" w14:textId="77777777" w:rsidTr="00BE4F7B">
        <w:trPr>
          <w:trHeight w:val="1298"/>
        </w:trPr>
        <w:tc>
          <w:tcPr>
            <w:tcW w:w="1447" w:type="dxa"/>
            <w:tcBorders>
              <w:right w:val="nil"/>
            </w:tcBorders>
            <w:vAlign w:val="bottom"/>
          </w:tcPr>
          <w:p w14:paraId="5D197467" w14:textId="15BE2BD4" w:rsidR="00FB0D24" w:rsidRPr="00431732" w:rsidRDefault="00FB0D24" w:rsidP="00BE4F7B">
            <w:pPr>
              <w:pStyle w:val="Estilo"/>
              <w:rPr>
                <w:rFonts w:ascii="Open Sans" w:hAnsi="Open Sans" w:cs="Open Sans"/>
                <w:shd w:val="clear" w:color="auto" w:fill="FFFFFF"/>
              </w:rPr>
            </w:pPr>
            <w:r w:rsidRPr="00431732">
              <w:rPr>
                <w:rFonts w:ascii="Open Sans" w:hAnsi="Open Sans" w:cs="Open Sans"/>
                <w:shd w:val="clear" w:color="auto" w:fill="FFFFFF"/>
              </w:rPr>
              <w:t>Assinatura:</w:t>
            </w:r>
          </w:p>
        </w:tc>
        <w:tc>
          <w:tcPr>
            <w:tcW w:w="6790" w:type="dxa"/>
            <w:tcBorders>
              <w:left w:val="nil"/>
            </w:tcBorders>
            <w:vAlign w:val="bottom"/>
          </w:tcPr>
          <w:p w14:paraId="34938B87" w14:textId="77777777" w:rsidR="00FB0D24" w:rsidRPr="00431732" w:rsidRDefault="00FB0D24" w:rsidP="00BE4F7B">
            <w:pPr>
              <w:pStyle w:val="Estilo"/>
              <w:rPr>
                <w:rFonts w:ascii="Open Sans" w:hAnsi="Open Sans" w:cs="Open Sans"/>
                <w:shd w:val="clear" w:color="auto" w:fill="FFFFFF"/>
              </w:rPr>
            </w:pPr>
          </w:p>
        </w:tc>
      </w:tr>
    </w:tbl>
    <w:p w14:paraId="209EBFAC" w14:textId="77777777" w:rsidR="001F020C" w:rsidRPr="00431732" w:rsidRDefault="001F020C" w:rsidP="00431732">
      <w:pPr>
        <w:rPr>
          <w:rFonts w:ascii="Open Sans" w:hAnsi="Open Sans" w:cs="Open Sans"/>
          <w:sz w:val="20"/>
          <w:szCs w:val="20"/>
          <w:shd w:val="clear" w:color="auto" w:fill="FFFFFF"/>
        </w:rPr>
      </w:pPr>
    </w:p>
    <w:p w14:paraId="643E7FCE" w14:textId="69739EC6" w:rsidR="00FB0D24" w:rsidRPr="00431732" w:rsidRDefault="009710B4" w:rsidP="00431732">
      <w:pPr>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br w:type="column"/>
      </w:r>
      <w:r w:rsidR="00FB0D24" w:rsidRPr="00431732">
        <w:rPr>
          <w:rFonts w:ascii="Open Sans" w:hAnsi="Open Sans" w:cs="Open Sans"/>
          <w:b/>
          <w:sz w:val="20"/>
          <w:szCs w:val="20"/>
          <w:shd w:val="clear" w:color="auto" w:fill="FFFFFF"/>
        </w:rPr>
        <w:lastRenderedPageBreak/>
        <w:t>ORIENTAÇÕES DE PREENCHIMENTO</w:t>
      </w:r>
    </w:p>
    <w:p w14:paraId="4CB9F0A8" w14:textId="77777777" w:rsidR="00FB0D24" w:rsidRPr="00431732" w:rsidRDefault="00FB0D24" w:rsidP="00431732">
      <w:pPr>
        <w:pStyle w:val="Estilo"/>
        <w:jc w:val="both"/>
        <w:rPr>
          <w:rFonts w:ascii="Open Sans" w:hAnsi="Open Sans" w:cs="Open Sans"/>
          <w:b/>
          <w:sz w:val="20"/>
          <w:szCs w:val="20"/>
          <w:shd w:val="clear" w:color="auto" w:fill="FFFFFF"/>
        </w:rPr>
      </w:pPr>
    </w:p>
    <w:p w14:paraId="14522950" w14:textId="704BC194" w:rsidR="00FB0D24" w:rsidRPr="00431732" w:rsidRDefault="00EE1860" w:rsidP="00431732">
      <w:pPr>
        <w:pStyle w:val="Estilo"/>
        <w:jc w:val="both"/>
        <w:rPr>
          <w:rFonts w:ascii="Open Sans" w:hAnsi="Open Sans" w:cs="Open Sans"/>
          <w:b/>
          <w:sz w:val="20"/>
          <w:szCs w:val="20"/>
          <w:shd w:val="clear" w:color="auto" w:fill="FFFFFF"/>
        </w:rPr>
      </w:pPr>
      <w:r w:rsidRPr="00431732">
        <w:rPr>
          <w:rFonts w:ascii="Open Sans" w:hAnsi="Open Sans" w:cs="Open Sans"/>
          <w:sz w:val="20"/>
          <w:szCs w:val="20"/>
          <w:shd w:val="clear" w:color="auto" w:fill="FFFFFF"/>
        </w:rPr>
        <w:t>Termos iniciados por letra maiúscula utilizados nesta instrução de voto à distância ("</w:t>
      </w:r>
      <w:r w:rsidRPr="00431732">
        <w:rPr>
          <w:rFonts w:ascii="Open Sans" w:hAnsi="Open Sans" w:cs="Open Sans"/>
          <w:sz w:val="20"/>
          <w:szCs w:val="20"/>
          <w:u w:val="single"/>
          <w:shd w:val="clear" w:color="auto" w:fill="FFFFFF"/>
        </w:rPr>
        <w:t>Instrução de Voto</w:t>
      </w:r>
      <w:r w:rsidRPr="00431732">
        <w:rPr>
          <w:rFonts w:ascii="Open Sans" w:hAnsi="Open Sans" w:cs="Open Sans"/>
          <w:sz w:val="20"/>
          <w:szCs w:val="20"/>
          <w:shd w:val="clear" w:color="auto" w:fill="FFFFFF"/>
        </w:rPr>
        <w:t xml:space="preserve">") da </w:t>
      </w:r>
      <w:r w:rsidRPr="00431732">
        <w:rPr>
          <w:rFonts w:ascii="Open Sans" w:hAnsi="Open Sans" w:cs="Open Sans"/>
          <w:color w:val="000000" w:themeColor="text1"/>
          <w:sz w:val="20"/>
          <w:szCs w:val="20"/>
        </w:rPr>
        <w:t xml:space="preserve">Assembleia Geral de Titulares dos Certificados de Recebíveis Imobiliários das </w:t>
      </w:r>
      <w:r w:rsidR="00BE4F7B" w:rsidRPr="00BE4F7B">
        <w:rPr>
          <w:rFonts w:ascii="Open Sans" w:hAnsi="Open Sans" w:cs="Open Sans"/>
          <w:bCs/>
          <w:color w:val="000000" w:themeColor="text1"/>
          <w:sz w:val="20"/>
          <w:szCs w:val="20"/>
        </w:rPr>
        <w:t xml:space="preserve">335ª, 336ª, 337ª, 338ª, 339ª, 340ª, 341ª, 342ª, 343ª </w:t>
      </w:r>
      <w:r w:rsidR="00BE4F7B">
        <w:rPr>
          <w:rFonts w:ascii="Open Sans" w:hAnsi="Open Sans" w:cs="Open Sans"/>
          <w:bCs/>
          <w:color w:val="000000" w:themeColor="text1"/>
          <w:sz w:val="20"/>
          <w:szCs w:val="20"/>
        </w:rPr>
        <w:t>e</w:t>
      </w:r>
      <w:r w:rsidR="00BE4F7B" w:rsidRPr="00BE4F7B">
        <w:rPr>
          <w:rFonts w:ascii="Open Sans" w:hAnsi="Open Sans" w:cs="Open Sans"/>
          <w:bCs/>
          <w:color w:val="000000" w:themeColor="text1"/>
          <w:sz w:val="20"/>
          <w:szCs w:val="20"/>
        </w:rPr>
        <w:t xml:space="preserve"> 344ª</w:t>
      </w:r>
      <w:r w:rsidRPr="00431732">
        <w:rPr>
          <w:rFonts w:ascii="Open Sans" w:hAnsi="Open Sans" w:cs="Open Sans"/>
          <w:color w:val="000000" w:themeColor="text1"/>
          <w:sz w:val="20"/>
          <w:szCs w:val="20"/>
        </w:rPr>
        <w:t xml:space="preserve"> Série</w:t>
      </w:r>
      <w:r w:rsidR="00BE4F7B">
        <w:rPr>
          <w:rFonts w:ascii="Open Sans" w:hAnsi="Open Sans" w:cs="Open Sans"/>
          <w:color w:val="000000" w:themeColor="text1"/>
          <w:sz w:val="20"/>
          <w:szCs w:val="20"/>
        </w:rPr>
        <w:t>s</w:t>
      </w:r>
      <w:r w:rsidRPr="00431732">
        <w:rPr>
          <w:rFonts w:ascii="Open Sans" w:hAnsi="Open Sans" w:cs="Open Sans"/>
          <w:color w:val="000000" w:themeColor="text1"/>
          <w:sz w:val="20"/>
          <w:szCs w:val="20"/>
        </w:rPr>
        <w:t xml:space="preserve"> da 1ª Emissão da Forte Securitizadora S.A.</w:t>
      </w:r>
      <w:r w:rsidRPr="00431732">
        <w:rPr>
          <w:rFonts w:ascii="Open Sans" w:hAnsi="Open Sans" w:cs="Open Sans"/>
          <w:sz w:val="20"/>
          <w:szCs w:val="20"/>
          <w:shd w:val="clear" w:color="auto" w:fill="FFFFFF"/>
        </w:rPr>
        <w:t xml:space="preserve"> (“</w:t>
      </w:r>
      <w:r w:rsidRPr="00431732">
        <w:rPr>
          <w:rFonts w:ascii="Open Sans" w:hAnsi="Open Sans" w:cs="Open Sans"/>
          <w:sz w:val="20"/>
          <w:szCs w:val="20"/>
          <w:u w:val="single"/>
          <w:shd w:val="clear" w:color="auto" w:fill="FFFFFF"/>
        </w:rPr>
        <w:t>Emissão</w:t>
      </w:r>
      <w:r w:rsidRPr="00431732">
        <w:rPr>
          <w:rFonts w:ascii="Open Sans" w:hAnsi="Open Sans" w:cs="Open Sans"/>
          <w:sz w:val="20"/>
          <w:szCs w:val="20"/>
          <w:shd w:val="clear" w:color="auto" w:fill="FFFFFF"/>
        </w:rPr>
        <w:t>”, “</w:t>
      </w:r>
      <w:r w:rsidRPr="00431732">
        <w:rPr>
          <w:rFonts w:ascii="Open Sans" w:hAnsi="Open Sans" w:cs="Open Sans"/>
          <w:sz w:val="20"/>
          <w:szCs w:val="20"/>
          <w:u w:val="single"/>
          <w:shd w:val="clear" w:color="auto" w:fill="FFFFFF"/>
        </w:rPr>
        <w:t>CRI</w:t>
      </w:r>
      <w:r w:rsidRPr="00431732">
        <w:rPr>
          <w:rFonts w:ascii="Open Sans" w:hAnsi="Open Sans" w:cs="Open Sans"/>
          <w:sz w:val="20"/>
          <w:szCs w:val="20"/>
          <w:shd w:val="clear" w:color="auto" w:fill="FFFFFF"/>
        </w:rPr>
        <w:t>” e "</w:t>
      </w:r>
      <w:r w:rsidRPr="00431732">
        <w:rPr>
          <w:rFonts w:ascii="Open Sans" w:hAnsi="Open Sans" w:cs="Open Sans"/>
          <w:sz w:val="20"/>
          <w:szCs w:val="20"/>
          <w:u w:val="single"/>
          <w:shd w:val="clear" w:color="auto" w:fill="FFFFFF"/>
        </w:rPr>
        <w:t>Emissora</w:t>
      </w:r>
      <w:r w:rsidRPr="00431732">
        <w:rPr>
          <w:rFonts w:ascii="Open Sans" w:hAnsi="Open Sans" w:cs="Open Sans"/>
          <w:sz w:val="20"/>
          <w:szCs w:val="20"/>
          <w:shd w:val="clear" w:color="auto" w:fill="FFFFFF"/>
        </w:rPr>
        <w:t xml:space="preserve">", respectivamente), que não estiverem aqui definidos, têm o significado que lhes for atribuído no </w:t>
      </w:r>
      <w:r w:rsidRPr="00431732">
        <w:rPr>
          <w:rFonts w:ascii="Open Sans" w:hAnsi="Open Sans" w:cs="Open Sans"/>
          <w:color w:val="000000" w:themeColor="text1"/>
          <w:sz w:val="20"/>
          <w:szCs w:val="20"/>
        </w:rPr>
        <w:t>Termo de Securitização de Créditos Imobiliários da</w:t>
      </w:r>
      <w:r w:rsidR="0091214D">
        <w:rPr>
          <w:rFonts w:ascii="Open Sans" w:hAnsi="Open Sans" w:cs="Open Sans"/>
          <w:color w:val="000000" w:themeColor="text1"/>
          <w:sz w:val="20"/>
          <w:szCs w:val="20"/>
        </w:rPr>
        <w:t>s</w:t>
      </w:r>
      <w:r w:rsidR="00104AA6">
        <w:rPr>
          <w:rFonts w:ascii="Open Sans" w:hAnsi="Open Sans" w:cs="Open Sans"/>
          <w:color w:val="000000" w:themeColor="text1"/>
          <w:sz w:val="20"/>
          <w:szCs w:val="20"/>
        </w:rPr>
        <w:t xml:space="preserve"> </w:t>
      </w:r>
      <w:r w:rsidR="0091214D" w:rsidRPr="00BE4F7B">
        <w:rPr>
          <w:rFonts w:ascii="Open Sans" w:hAnsi="Open Sans" w:cs="Open Sans"/>
          <w:bCs/>
          <w:color w:val="000000" w:themeColor="text1"/>
          <w:sz w:val="20"/>
          <w:szCs w:val="20"/>
        </w:rPr>
        <w:t xml:space="preserve">335ª, 336ª, 337ª, 338ª, 339ª, 340ª, 341ª, 342ª, 343ª </w:t>
      </w:r>
      <w:r w:rsidR="0091214D">
        <w:rPr>
          <w:rFonts w:ascii="Open Sans" w:hAnsi="Open Sans" w:cs="Open Sans"/>
          <w:bCs/>
          <w:color w:val="000000" w:themeColor="text1"/>
          <w:sz w:val="20"/>
          <w:szCs w:val="20"/>
        </w:rPr>
        <w:t>e</w:t>
      </w:r>
      <w:r w:rsidR="0091214D" w:rsidRPr="00BE4F7B">
        <w:rPr>
          <w:rFonts w:ascii="Open Sans" w:hAnsi="Open Sans" w:cs="Open Sans"/>
          <w:bCs/>
          <w:color w:val="000000" w:themeColor="text1"/>
          <w:sz w:val="20"/>
          <w:szCs w:val="20"/>
        </w:rPr>
        <w:t xml:space="preserve"> 344ª</w:t>
      </w:r>
      <w:r w:rsidR="00104AA6">
        <w:rPr>
          <w:rFonts w:ascii="Open Sans" w:hAnsi="Open Sans" w:cs="Open Sans"/>
          <w:color w:val="000000" w:themeColor="text1"/>
          <w:sz w:val="20"/>
          <w:szCs w:val="20"/>
        </w:rPr>
        <w:t xml:space="preserve"> </w:t>
      </w:r>
      <w:r w:rsidRPr="00431732">
        <w:rPr>
          <w:rFonts w:ascii="Open Sans" w:hAnsi="Open Sans" w:cs="Open Sans"/>
          <w:color w:val="000000" w:themeColor="text1"/>
          <w:sz w:val="20"/>
          <w:szCs w:val="20"/>
        </w:rPr>
        <w:t>Série</w:t>
      </w:r>
      <w:r w:rsidR="0091214D">
        <w:rPr>
          <w:rFonts w:ascii="Open Sans" w:hAnsi="Open Sans" w:cs="Open Sans"/>
          <w:color w:val="000000" w:themeColor="text1"/>
          <w:sz w:val="20"/>
          <w:szCs w:val="20"/>
        </w:rPr>
        <w:t>s</w:t>
      </w:r>
      <w:r w:rsidRPr="00431732">
        <w:rPr>
          <w:rFonts w:ascii="Open Sans" w:hAnsi="Open Sans" w:cs="Open Sans"/>
          <w:color w:val="000000" w:themeColor="text1"/>
          <w:sz w:val="20"/>
          <w:szCs w:val="20"/>
        </w:rPr>
        <w:t xml:space="preserve"> da 1ª Emissão de Certificados de Recebíveis Imobiliários da</w:t>
      </w:r>
      <w:r w:rsidRPr="00431732">
        <w:rPr>
          <w:rFonts w:ascii="Open Sans" w:hAnsi="Open Sans" w:cs="Open Sans"/>
          <w:iCs/>
          <w:sz w:val="20"/>
          <w:szCs w:val="20"/>
        </w:rPr>
        <w:t xml:space="preserve"> Forte Securitizadora S.A.,</w:t>
      </w:r>
      <w:r w:rsidRPr="00431732">
        <w:rPr>
          <w:rFonts w:ascii="Open Sans" w:hAnsi="Open Sans" w:cs="Open Sans"/>
          <w:sz w:val="20"/>
          <w:szCs w:val="20"/>
        </w:rPr>
        <w:t xml:space="preserve"> celebrado entre a Emissora e a </w:t>
      </w:r>
      <w:r w:rsidRPr="00431732">
        <w:rPr>
          <w:rFonts w:ascii="Open Sans" w:hAnsi="Open Sans" w:cs="Open Sans"/>
          <w:smallCaps/>
          <w:sz w:val="20"/>
          <w:szCs w:val="20"/>
        </w:rPr>
        <w:t>Vórtx Distribuidora de Títulos e Valores Mobiliários Ltda</w:t>
      </w:r>
      <w:r w:rsidRPr="00431732">
        <w:rPr>
          <w:rFonts w:ascii="Open Sans" w:hAnsi="Open Sans" w:cs="Open Sans"/>
          <w:sz w:val="20"/>
          <w:szCs w:val="20"/>
        </w:rPr>
        <w:t>. (“</w:t>
      </w:r>
      <w:r w:rsidRPr="00431732">
        <w:rPr>
          <w:rFonts w:ascii="Open Sans" w:hAnsi="Open Sans" w:cs="Open Sans"/>
          <w:sz w:val="20"/>
          <w:szCs w:val="20"/>
          <w:u w:val="single"/>
        </w:rPr>
        <w:t>Termo de Securitização</w:t>
      </w:r>
      <w:r w:rsidRPr="00431732">
        <w:rPr>
          <w:rFonts w:ascii="Open Sans" w:hAnsi="Open Sans" w:cs="Open Sans"/>
          <w:sz w:val="20"/>
          <w:szCs w:val="20"/>
        </w:rPr>
        <w:t>” e “</w:t>
      </w:r>
      <w:r w:rsidRPr="00431732">
        <w:rPr>
          <w:rFonts w:ascii="Open Sans" w:hAnsi="Open Sans" w:cs="Open Sans"/>
          <w:sz w:val="20"/>
          <w:szCs w:val="20"/>
          <w:u w:val="single"/>
        </w:rPr>
        <w:t>Agente Fiduciário</w:t>
      </w:r>
      <w:r w:rsidRPr="00431732">
        <w:rPr>
          <w:rFonts w:ascii="Open Sans" w:hAnsi="Open Sans" w:cs="Open Sans"/>
          <w:sz w:val="20"/>
          <w:szCs w:val="20"/>
        </w:rPr>
        <w:t>”, respectivamente)</w:t>
      </w:r>
      <w:r w:rsidRPr="00431732">
        <w:rPr>
          <w:rFonts w:ascii="Open Sans" w:hAnsi="Open Sans" w:cs="Open Sans"/>
          <w:sz w:val="20"/>
          <w:szCs w:val="20"/>
          <w:shd w:val="clear" w:color="auto" w:fill="FFFFFF"/>
        </w:rPr>
        <w:t>.</w:t>
      </w:r>
    </w:p>
    <w:p w14:paraId="2F079218" w14:textId="77777777" w:rsidR="00FB0D24" w:rsidRPr="00431732" w:rsidRDefault="00FB0D24" w:rsidP="00431732">
      <w:pPr>
        <w:pStyle w:val="Estilo"/>
        <w:jc w:val="both"/>
        <w:rPr>
          <w:rFonts w:ascii="Open Sans" w:hAnsi="Open Sans" w:cs="Open Sans"/>
          <w:b/>
          <w:sz w:val="20"/>
          <w:szCs w:val="20"/>
          <w:shd w:val="clear" w:color="auto" w:fill="FFFFFF"/>
        </w:rPr>
      </w:pPr>
    </w:p>
    <w:p w14:paraId="507C66C1" w14:textId="3372554A" w:rsidR="00FB0D24"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Esta Instrução de Voto deve ser preenchida caso o titular de CR</w:t>
      </w:r>
      <w:r w:rsidR="00481AC4" w:rsidRPr="00431732">
        <w:rPr>
          <w:rFonts w:ascii="Open Sans" w:hAnsi="Open Sans" w:cs="Open Sans"/>
          <w:sz w:val="20"/>
          <w:szCs w:val="20"/>
          <w:shd w:val="clear" w:color="auto" w:fill="FFFFFF"/>
        </w:rPr>
        <w:t>I</w:t>
      </w:r>
      <w:r w:rsidRPr="00431732">
        <w:rPr>
          <w:rFonts w:ascii="Open Sans" w:hAnsi="Open Sans" w:cs="Open Sans"/>
          <w:sz w:val="20"/>
          <w:szCs w:val="20"/>
          <w:shd w:val="clear" w:color="auto" w:fill="FFFFFF"/>
        </w:rPr>
        <w:t xml:space="preserve"> (“</w:t>
      </w:r>
      <w:r w:rsidRPr="00431732">
        <w:rPr>
          <w:rFonts w:ascii="Open Sans" w:hAnsi="Open Sans" w:cs="Open Sans"/>
          <w:sz w:val="20"/>
          <w:szCs w:val="20"/>
          <w:u w:val="single"/>
          <w:shd w:val="clear" w:color="auto" w:fill="FFFFFF"/>
        </w:rPr>
        <w:t>Titular de CR</w:t>
      </w:r>
      <w:r w:rsidR="00481AC4" w:rsidRPr="00431732">
        <w:rPr>
          <w:rFonts w:ascii="Open Sans" w:hAnsi="Open Sans" w:cs="Open Sans"/>
          <w:sz w:val="20"/>
          <w:szCs w:val="20"/>
          <w:u w:val="single"/>
          <w:shd w:val="clear" w:color="auto" w:fill="FFFFFF"/>
        </w:rPr>
        <w:t>I</w:t>
      </w:r>
      <w:r w:rsidRPr="00431732">
        <w:rPr>
          <w:rFonts w:ascii="Open Sans" w:hAnsi="Open Sans" w:cs="Open Sans"/>
          <w:sz w:val="20"/>
          <w:szCs w:val="20"/>
          <w:shd w:val="clear" w:color="auto" w:fill="FFFFFF"/>
        </w:rPr>
        <w:t xml:space="preserve">”) opte por exercer seu direito de voto por meio de instrução de voto </w:t>
      </w:r>
      <w:r w:rsidR="005C019D" w:rsidRPr="00431732">
        <w:rPr>
          <w:rFonts w:ascii="Open Sans" w:hAnsi="Open Sans" w:cs="Open Sans"/>
          <w:sz w:val="20"/>
          <w:szCs w:val="20"/>
          <w:shd w:val="clear" w:color="auto" w:fill="FFFFFF"/>
        </w:rPr>
        <w:t>à</w:t>
      </w:r>
      <w:r w:rsidRPr="00431732">
        <w:rPr>
          <w:rFonts w:ascii="Open Sans" w:hAnsi="Open Sans" w:cs="Open Sans"/>
          <w:sz w:val="20"/>
          <w:szCs w:val="20"/>
          <w:shd w:val="clear" w:color="auto" w:fill="FFFFFF"/>
        </w:rPr>
        <w:t xml:space="preserve"> distância, nos termos da Instrução da Comissão de Valores Mobiliários (“</w:t>
      </w:r>
      <w:r w:rsidRPr="00431732">
        <w:rPr>
          <w:rFonts w:ascii="Open Sans" w:hAnsi="Open Sans" w:cs="Open Sans"/>
          <w:sz w:val="20"/>
          <w:szCs w:val="20"/>
          <w:u w:val="single"/>
          <w:shd w:val="clear" w:color="auto" w:fill="FFFFFF"/>
        </w:rPr>
        <w:t>CVM</w:t>
      </w:r>
      <w:r w:rsidRPr="00431732">
        <w:rPr>
          <w:rFonts w:ascii="Open Sans" w:hAnsi="Open Sans" w:cs="Open Sans"/>
          <w:sz w:val="20"/>
          <w:szCs w:val="20"/>
          <w:shd w:val="clear" w:color="auto" w:fill="FFFFFF"/>
        </w:rPr>
        <w:t>”) nº 625, de 14 de maio de 2020 (“</w:t>
      </w:r>
      <w:r w:rsidRPr="00431732">
        <w:rPr>
          <w:rFonts w:ascii="Open Sans" w:hAnsi="Open Sans" w:cs="Open Sans"/>
          <w:sz w:val="20"/>
          <w:szCs w:val="20"/>
          <w:u w:val="single"/>
          <w:shd w:val="clear" w:color="auto" w:fill="FFFFFF"/>
        </w:rPr>
        <w:t>Instrução CVM 625</w:t>
      </w:r>
      <w:r w:rsidRPr="00431732">
        <w:rPr>
          <w:rFonts w:ascii="Open Sans" w:hAnsi="Open Sans" w:cs="Open Sans"/>
          <w:sz w:val="20"/>
          <w:szCs w:val="20"/>
          <w:shd w:val="clear" w:color="auto" w:fill="FFFFFF"/>
        </w:rPr>
        <w:t>”).</w:t>
      </w:r>
    </w:p>
    <w:p w14:paraId="4F7ED141" w14:textId="77777777" w:rsidR="00FB0D24" w:rsidRPr="00431732" w:rsidRDefault="00FB0D24" w:rsidP="00431732">
      <w:pPr>
        <w:pStyle w:val="Estilo"/>
        <w:jc w:val="both"/>
        <w:rPr>
          <w:rFonts w:ascii="Open Sans" w:hAnsi="Open Sans" w:cs="Open Sans"/>
          <w:sz w:val="20"/>
          <w:szCs w:val="20"/>
          <w:shd w:val="clear" w:color="auto" w:fill="FFFFFF"/>
        </w:rPr>
      </w:pPr>
    </w:p>
    <w:p w14:paraId="4F2E8DF8" w14:textId="77777777" w:rsidR="00FB0D24"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Para que esta Instrução de Voto seja considerada válida e os votos aqui proferidos sejam contabilizados no quórum da Assembleia:</w:t>
      </w:r>
    </w:p>
    <w:p w14:paraId="48093763" w14:textId="77777777" w:rsidR="00FB0D24" w:rsidRPr="00431732" w:rsidRDefault="00FB0D24" w:rsidP="00431732">
      <w:pPr>
        <w:pStyle w:val="Estilo"/>
        <w:jc w:val="both"/>
        <w:rPr>
          <w:rFonts w:ascii="Open Sans" w:hAnsi="Open Sans" w:cs="Open Sans"/>
          <w:sz w:val="20"/>
          <w:szCs w:val="20"/>
          <w:shd w:val="clear" w:color="auto" w:fill="FFFFFF"/>
        </w:rPr>
      </w:pPr>
    </w:p>
    <w:p w14:paraId="249EB811" w14:textId="3811E29D" w:rsidR="00FB0D24" w:rsidRPr="00431732" w:rsidRDefault="00FB0D24" w:rsidP="00431732">
      <w:pPr>
        <w:pStyle w:val="Estilo"/>
        <w:numPr>
          <w:ilvl w:val="0"/>
          <w:numId w:val="6"/>
        </w:numPr>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todos os campos, incluindo a indicação do nome ou denominação social completa do Titular de CR</w:t>
      </w:r>
      <w:r w:rsidR="00481AC4" w:rsidRPr="00431732">
        <w:rPr>
          <w:rFonts w:ascii="Open Sans" w:hAnsi="Open Sans" w:cs="Open Sans"/>
          <w:sz w:val="20"/>
          <w:szCs w:val="20"/>
          <w:shd w:val="clear" w:color="auto" w:fill="FFFFFF"/>
        </w:rPr>
        <w:t>I</w:t>
      </w:r>
      <w:r w:rsidRPr="00431732">
        <w:rPr>
          <w:rFonts w:ascii="Open Sans" w:hAnsi="Open Sans" w:cs="Open Sans"/>
          <w:sz w:val="20"/>
          <w:szCs w:val="20"/>
          <w:shd w:val="clear" w:color="auto" w:fill="FFFFFF"/>
        </w:rPr>
        <w:t xml:space="preserve"> e o número do CPF/ME ou CNPJ/ME, bem como indicação de endereço eletrônico e telefone para eventuais contatos deverão ser preenchidos; </w:t>
      </w:r>
    </w:p>
    <w:p w14:paraId="78083B9D" w14:textId="77777777" w:rsidR="00FB0D24" w:rsidRPr="00431732" w:rsidRDefault="00FB0D24" w:rsidP="00431732">
      <w:pPr>
        <w:pStyle w:val="Estilo"/>
        <w:jc w:val="both"/>
        <w:rPr>
          <w:rFonts w:ascii="Open Sans" w:hAnsi="Open Sans" w:cs="Open Sans"/>
          <w:sz w:val="20"/>
          <w:szCs w:val="20"/>
          <w:shd w:val="clear" w:color="auto" w:fill="FFFFFF"/>
        </w:rPr>
      </w:pPr>
    </w:p>
    <w:p w14:paraId="6EE3F543" w14:textId="77777777" w:rsidR="00FB0D24" w:rsidRPr="00431732" w:rsidRDefault="00FB0D24" w:rsidP="00431732">
      <w:pPr>
        <w:pStyle w:val="Estilo"/>
        <w:numPr>
          <w:ilvl w:val="0"/>
          <w:numId w:val="6"/>
        </w:numPr>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 xml:space="preserve">o voto deverá ser assinalado apenas em um dos campos (aprovação, rejeição ou abstenção); </w:t>
      </w:r>
    </w:p>
    <w:p w14:paraId="3A44F5AA" w14:textId="77777777" w:rsidR="00FB0D24" w:rsidRPr="00431732" w:rsidRDefault="00FB0D24" w:rsidP="00431732">
      <w:pPr>
        <w:pStyle w:val="Estilo"/>
        <w:jc w:val="both"/>
        <w:rPr>
          <w:rFonts w:ascii="Open Sans" w:hAnsi="Open Sans" w:cs="Open Sans"/>
          <w:sz w:val="20"/>
          <w:szCs w:val="20"/>
          <w:shd w:val="clear" w:color="auto" w:fill="FFFFFF"/>
        </w:rPr>
      </w:pPr>
    </w:p>
    <w:p w14:paraId="02914B03" w14:textId="34FCDB63" w:rsidR="00FB0D24" w:rsidRPr="00431732" w:rsidRDefault="00FB0D24" w:rsidP="00431732">
      <w:pPr>
        <w:pStyle w:val="Estilo"/>
        <w:numPr>
          <w:ilvl w:val="0"/>
          <w:numId w:val="6"/>
        </w:numPr>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ao final, o Titular de CR</w:t>
      </w:r>
      <w:r w:rsidR="00481AC4" w:rsidRPr="00431732">
        <w:rPr>
          <w:rFonts w:ascii="Open Sans" w:hAnsi="Open Sans" w:cs="Open Sans"/>
          <w:sz w:val="20"/>
          <w:szCs w:val="20"/>
          <w:shd w:val="clear" w:color="auto" w:fill="FFFFFF"/>
        </w:rPr>
        <w:t>I</w:t>
      </w:r>
      <w:r w:rsidRPr="00431732">
        <w:rPr>
          <w:rFonts w:ascii="Open Sans" w:hAnsi="Open Sans" w:cs="Open Sans"/>
          <w:sz w:val="20"/>
          <w:szCs w:val="20"/>
          <w:shd w:val="clear" w:color="auto" w:fill="FFFFFF"/>
        </w:rPr>
        <w:t xml:space="preserve"> ou seu(s) representante(s) legal(</w:t>
      </w:r>
      <w:proofErr w:type="spellStart"/>
      <w:r w:rsidRPr="00431732">
        <w:rPr>
          <w:rFonts w:ascii="Open Sans" w:hAnsi="Open Sans" w:cs="Open Sans"/>
          <w:sz w:val="20"/>
          <w:szCs w:val="20"/>
          <w:shd w:val="clear" w:color="auto" w:fill="FFFFFF"/>
        </w:rPr>
        <w:t>is</w:t>
      </w:r>
      <w:proofErr w:type="spellEnd"/>
      <w:r w:rsidRPr="00431732">
        <w:rPr>
          <w:rFonts w:ascii="Open Sans" w:hAnsi="Open Sans" w:cs="Open Sans"/>
          <w:sz w:val="20"/>
          <w:szCs w:val="20"/>
          <w:shd w:val="clear" w:color="auto" w:fill="FFFFFF"/>
        </w:rPr>
        <w:t>), deverá(</w:t>
      </w:r>
      <w:proofErr w:type="spellStart"/>
      <w:r w:rsidRPr="00431732">
        <w:rPr>
          <w:rFonts w:ascii="Open Sans" w:hAnsi="Open Sans" w:cs="Open Sans"/>
          <w:sz w:val="20"/>
          <w:szCs w:val="20"/>
          <w:shd w:val="clear" w:color="auto" w:fill="FFFFFF"/>
        </w:rPr>
        <w:t>ão</w:t>
      </w:r>
      <w:proofErr w:type="spellEnd"/>
      <w:r w:rsidRPr="00431732">
        <w:rPr>
          <w:rFonts w:ascii="Open Sans" w:hAnsi="Open Sans" w:cs="Open Sans"/>
          <w:sz w:val="20"/>
          <w:szCs w:val="20"/>
          <w:shd w:val="clear" w:color="auto" w:fill="FFFFFF"/>
        </w:rPr>
        <w:t xml:space="preserve">) assinar esta Instrução de Voto; e </w:t>
      </w:r>
    </w:p>
    <w:p w14:paraId="1AF753CF" w14:textId="77777777" w:rsidR="00FB0D24" w:rsidRPr="00431732" w:rsidRDefault="00FB0D24" w:rsidP="00431732">
      <w:pPr>
        <w:pStyle w:val="Estilo"/>
        <w:jc w:val="both"/>
        <w:rPr>
          <w:rFonts w:ascii="Open Sans" w:hAnsi="Open Sans" w:cs="Open Sans"/>
          <w:sz w:val="20"/>
          <w:szCs w:val="20"/>
          <w:shd w:val="clear" w:color="auto" w:fill="FFFFFF"/>
        </w:rPr>
      </w:pPr>
    </w:p>
    <w:p w14:paraId="1D56FC01" w14:textId="77777777" w:rsidR="00FB0D24" w:rsidRPr="00431732" w:rsidRDefault="00FB0D24" w:rsidP="00431732">
      <w:pPr>
        <w:pStyle w:val="Estilo"/>
        <w:numPr>
          <w:ilvl w:val="0"/>
          <w:numId w:val="6"/>
        </w:numPr>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a entrega desta Instrução de Voto deverá observar a regulamentação aplicável, assim como as orientações abaixo.</w:t>
      </w:r>
    </w:p>
    <w:p w14:paraId="2D0E67A4" w14:textId="77777777" w:rsidR="00FB0D24" w:rsidRPr="00431732" w:rsidRDefault="00FB0D24" w:rsidP="00431732">
      <w:pPr>
        <w:pStyle w:val="Estilo"/>
        <w:pBdr>
          <w:bottom w:val="single" w:sz="12" w:space="1" w:color="auto"/>
        </w:pBdr>
        <w:jc w:val="both"/>
        <w:rPr>
          <w:rFonts w:ascii="Open Sans" w:hAnsi="Open Sans" w:cs="Open Sans"/>
          <w:sz w:val="20"/>
          <w:szCs w:val="20"/>
          <w:shd w:val="clear" w:color="auto" w:fill="FFFFFF"/>
        </w:rPr>
      </w:pPr>
    </w:p>
    <w:p w14:paraId="1CAAB7AD" w14:textId="77777777" w:rsidR="00FB0D24" w:rsidRPr="00431732" w:rsidRDefault="00FB0D24" w:rsidP="00431732">
      <w:pPr>
        <w:pStyle w:val="Estilo"/>
        <w:jc w:val="both"/>
        <w:rPr>
          <w:rFonts w:ascii="Open Sans" w:hAnsi="Open Sans" w:cs="Open Sans"/>
          <w:sz w:val="20"/>
          <w:szCs w:val="20"/>
          <w:shd w:val="clear" w:color="auto" w:fill="FFFFFF"/>
        </w:rPr>
      </w:pPr>
    </w:p>
    <w:p w14:paraId="5C552B0F" w14:textId="77777777" w:rsidR="00FB0D24" w:rsidRPr="00431732" w:rsidRDefault="00FB0D24" w:rsidP="00431732">
      <w:pPr>
        <w:pStyle w:val="Estilo"/>
        <w:jc w:val="both"/>
        <w:rPr>
          <w:rFonts w:ascii="Open Sans" w:hAnsi="Open Sans" w:cs="Open Sans"/>
          <w:b/>
          <w:sz w:val="20"/>
          <w:szCs w:val="20"/>
          <w:shd w:val="clear" w:color="auto" w:fill="FFFFFF"/>
        </w:rPr>
      </w:pPr>
      <w:r w:rsidRPr="00431732">
        <w:rPr>
          <w:rFonts w:ascii="Open Sans" w:hAnsi="Open Sans" w:cs="Open Sans"/>
          <w:b/>
          <w:sz w:val="20"/>
          <w:szCs w:val="20"/>
          <w:shd w:val="clear" w:color="auto" w:fill="FFFFFF"/>
        </w:rPr>
        <w:t>ORIENTAÇÕES DE ENVIO DA INSTRUÇÃO DE VOTO</w:t>
      </w:r>
    </w:p>
    <w:p w14:paraId="4A61B5AA" w14:textId="77777777" w:rsidR="00FB0D24" w:rsidRPr="00431732" w:rsidRDefault="00FB0D24" w:rsidP="00431732">
      <w:pPr>
        <w:pStyle w:val="Estilo"/>
        <w:jc w:val="both"/>
        <w:rPr>
          <w:rFonts w:ascii="Open Sans" w:hAnsi="Open Sans" w:cs="Open Sans"/>
          <w:sz w:val="20"/>
          <w:szCs w:val="20"/>
          <w:shd w:val="clear" w:color="auto" w:fill="FFFFFF"/>
        </w:rPr>
      </w:pPr>
    </w:p>
    <w:p w14:paraId="21832515" w14:textId="391E480A" w:rsidR="00FB0D24"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O Titular de CR</w:t>
      </w:r>
      <w:r w:rsidR="00481AC4" w:rsidRPr="00431732">
        <w:rPr>
          <w:rFonts w:ascii="Open Sans" w:hAnsi="Open Sans" w:cs="Open Sans"/>
          <w:sz w:val="20"/>
          <w:szCs w:val="20"/>
          <w:shd w:val="clear" w:color="auto" w:fill="FFFFFF"/>
        </w:rPr>
        <w:t>I</w:t>
      </w:r>
      <w:r w:rsidRPr="00431732">
        <w:rPr>
          <w:rFonts w:ascii="Open Sans" w:hAnsi="Open Sans" w:cs="Open Sans"/>
          <w:sz w:val="20"/>
          <w:szCs w:val="20"/>
          <w:shd w:val="clear" w:color="auto" w:fill="FFFFFF"/>
        </w:rPr>
        <w:t xml:space="preserve"> que optar por exercer o seu direito de voto </w:t>
      </w:r>
      <w:r w:rsidR="00207A8F" w:rsidRPr="00431732">
        <w:rPr>
          <w:rFonts w:ascii="Open Sans" w:hAnsi="Open Sans" w:cs="Open Sans"/>
          <w:sz w:val="20"/>
          <w:szCs w:val="20"/>
          <w:shd w:val="clear" w:color="auto" w:fill="FFFFFF"/>
        </w:rPr>
        <w:t>à</w:t>
      </w:r>
      <w:r w:rsidRPr="00431732">
        <w:rPr>
          <w:rFonts w:ascii="Open Sans" w:hAnsi="Open Sans" w:cs="Open Sans"/>
          <w:sz w:val="20"/>
          <w:szCs w:val="20"/>
          <w:shd w:val="clear" w:color="auto" w:fill="FFFFFF"/>
        </w:rPr>
        <w:t xml:space="preserve"> distância deverá preencher e enviar a presente Instrução de Voto e demais documentos abaixo indicados, conforme orientações a seguir: </w:t>
      </w:r>
    </w:p>
    <w:p w14:paraId="3F3266CD" w14:textId="77777777" w:rsidR="00FB0D24" w:rsidRPr="00431732" w:rsidRDefault="00FB0D24" w:rsidP="00431732">
      <w:pPr>
        <w:pStyle w:val="Estilo"/>
        <w:jc w:val="both"/>
        <w:rPr>
          <w:rFonts w:ascii="Open Sans" w:hAnsi="Open Sans" w:cs="Open Sans"/>
          <w:sz w:val="20"/>
          <w:szCs w:val="20"/>
          <w:shd w:val="clear" w:color="auto" w:fill="FFFFFF"/>
        </w:rPr>
      </w:pPr>
    </w:p>
    <w:p w14:paraId="0B9EADF4" w14:textId="77777777" w:rsidR="00FB0D24" w:rsidRPr="00431732" w:rsidRDefault="00FB0D24" w:rsidP="00431732">
      <w:pPr>
        <w:pStyle w:val="Estilo"/>
        <w:numPr>
          <w:ilvl w:val="0"/>
          <w:numId w:val="7"/>
        </w:numPr>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 xml:space="preserve">a Instrução de Voto deverá ser devidamente preenchida e assinada de forma eletrônica, por meio de plataforma para assinaturas eletrônicas, com ou sem certificados digitais emitidos pela ICP-Brasil. Não será exigido o reconhecimento de firma de assinaturas, </w:t>
      </w:r>
      <w:proofErr w:type="spellStart"/>
      <w:r w:rsidRPr="00431732">
        <w:rPr>
          <w:rFonts w:ascii="Open Sans" w:hAnsi="Open Sans" w:cs="Open Sans"/>
          <w:sz w:val="20"/>
          <w:szCs w:val="20"/>
          <w:shd w:val="clear" w:color="auto" w:fill="FFFFFF"/>
        </w:rPr>
        <w:t>notarização</w:t>
      </w:r>
      <w:proofErr w:type="spellEnd"/>
      <w:r w:rsidRPr="00431732">
        <w:rPr>
          <w:rFonts w:ascii="Open Sans" w:hAnsi="Open Sans" w:cs="Open Sans"/>
          <w:sz w:val="20"/>
          <w:szCs w:val="20"/>
          <w:shd w:val="clear" w:color="auto" w:fill="FFFFFF"/>
        </w:rPr>
        <w:t xml:space="preserve"> ou consularização na Instrução de Voto.</w:t>
      </w:r>
    </w:p>
    <w:p w14:paraId="61841732" w14:textId="77777777" w:rsidR="00FB0D24" w:rsidRPr="00431732" w:rsidRDefault="00FB0D24" w:rsidP="00431732">
      <w:pPr>
        <w:pStyle w:val="Estilo"/>
        <w:jc w:val="both"/>
        <w:rPr>
          <w:rFonts w:ascii="Open Sans" w:hAnsi="Open Sans" w:cs="Open Sans"/>
          <w:sz w:val="20"/>
          <w:szCs w:val="20"/>
          <w:shd w:val="clear" w:color="auto" w:fill="FFFFFF"/>
        </w:rPr>
      </w:pPr>
    </w:p>
    <w:p w14:paraId="237AC3CA" w14:textId="77777777" w:rsidR="00FB0D24" w:rsidRPr="00431732" w:rsidRDefault="00FB0D24" w:rsidP="00431732">
      <w:pPr>
        <w:pStyle w:val="Estilo"/>
        <w:numPr>
          <w:ilvl w:val="0"/>
          <w:numId w:val="7"/>
        </w:numPr>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 xml:space="preserve">os seguintes documentos deverão ser enviados em conjunto com a Instrução de Voto: </w:t>
      </w:r>
    </w:p>
    <w:p w14:paraId="37B5E211" w14:textId="77777777" w:rsidR="00FB0D24" w:rsidRPr="00431732" w:rsidRDefault="00FB0D24" w:rsidP="00431732">
      <w:pPr>
        <w:pStyle w:val="Estilo"/>
        <w:jc w:val="both"/>
        <w:rPr>
          <w:rFonts w:ascii="Open Sans" w:hAnsi="Open Sans" w:cs="Open Sans"/>
          <w:sz w:val="20"/>
          <w:szCs w:val="20"/>
          <w:shd w:val="clear" w:color="auto" w:fill="FFFFFF"/>
        </w:rPr>
      </w:pPr>
    </w:p>
    <w:p w14:paraId="57AE7D2B" w14:textId="7D3A67F6" w:rsidR="00FB0D24" w:rsidRPr="00431732" w:rsidRDefault="00FB0D24" w:rsidP="00431732">
      <w:pPr>
        <w:pStyle w:val="Estilo"/>
        <w:numPr>
          <w:ilvl w:val="0"/>
          <w:numId w:val="8"/>
        </w:numPr>
        <w:ind w:left="1134" w:hanging="425"/>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 xml:space="preserve">quando pessoa jurídica, (1) último estatuto social ou contrato social </w:t>
      </w:r>
      <w:r w:rsidRPr="00431732">
        <w:rPr>
          <w:rFonts w:ascii="Open Sans" w:hAnsi="Open Sans" w:cs="Open Sans"/>
          <w:sz w:val="20"/>
          <w:szCs w:val="20"/>
          <w:shd w:val="clear" w:color="auto" w:fill="FFFFFF"/>
        </w:rPr>
        <w:lastRenderedPageBreak/>
        <w:t>consolidado, devidamente registrado na junta comercial competente; (2) documentos societários que comprovem a representação legal do Titular de CR</w:t>
      </w:r>
      <w:r w:rsidR="00481AC4" w:rsidRPr="00431732">
        <w:rPr>
          <w:rFonts w:ascii="Open Sans" w:hAnsi="Open Sans" w:cs="Open Sans"/>
          <w:sz w:val="20"/>
          <w:szCs w:val="20"/>
          <w:shd w:val="clear" w:color="auto" w:fill="FFFFFF"/>
        </w:rPr>
        <w:t>I</w:t>
      </w:r>
      <w:r w:rsidRPr="00431732">
        <w:rPr>
          <w:rFonts w:ascii="Open Sans" w:hAnsi="Open Sans" w:cs="Open Sans"/>
          <w:sz w:val="20"/>
          <w:szCs w:val="20"/>
          <w:shd w:val="clear" w:color="auto" w:fill="FFFFFF"/>
        </w:rPr>
        <w:t>; e (3) documento de identidade válido com foto do representante legal; e</w:t>
      </w:r>
    </w:p>
    <w:p w14:paraId="5C04B00A" w14:textId="77777777" w:rsidR="00FB0D24" w:rsidRPr="00431732" w:rsidRDefault="00FB0D24" w:rsidP="00431732">
      <w:pPr>
        <w:pStyle w:val="Estilo"/>
        <w:ind w:left="1134" w:hanging="360"/>
        <w:jc w:val="both"/>
        <w:rPr>
          <w:rFonts w:ascii="Open Sans" w:hAnsi="Open Sans" w:cs="Open Sans"/>
          <w:sz w:val="20"/>
          <w:szCs w:val="20"/>
          <w:shd w:val="clear" w:color="auto" w:fill="FFFFFF"/>
        </w:rPr>
      </w:pPr>
    </w:p>
    <w:p w14:paraId="3AE24C2B" w14:textId="2BC0488D" w:rsidR="00FB0D24" w:rsidRPr="00431732" w:rsidRDefault="00FB0D24" w:rsidP="00431732">
      <w:pPr>
        <w:pStyle w:val="Estilo"/>
        <w:numPr>
          <w:ilvl w:val="0"/>
          <w:numId w:val="8"/>
        </w:numPr>
        <w:ind w:left="1134" w:hanging="425"/>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quando fundo de investimento, (1) último regulamento consolidado do fundo; (2) estatuto ou contrato social do seu administrador ou gestor, conforme o caso, observada a política de voto do fundo e documentos societários que comprovem os poderes de representação em Assembleia Geral de Titulares de CR</w:t>
      </w:r>
      <w:r w:rsidR="00481AC4" w:rsidRPr="00431732">
        <w:rPr>
          <w:rFonts w:ascii="Open Sans" w:hAnsi="Open Sans" w:cs="Open Sans"/>
          <w:sz w:val="20"/>
          <w:szCs w:val="20"/>
          <w:shd w:val="clear" w:color="auto" w:fill="FFFFFF"/>
        </w:rPr>
        <w:t>I</w:t>
      </w:r>
      <w:r w:rsidRPr="00431732">
        <w:rPr>
          <w:rFonts w:ascii="Open Sans" w:hAnsi="Open Sans" w:cs="Open Sans"/>
          <w:sz w:val="20"/>
          <w:szCs w:val="20"/>
          <w:shd w:val="clear" w:color="auto" w:fill="FFFFFF"/>
        </w:rPr>
        <w:t>; e (3) documento de identidade válido com foto do representante legal.</w:t>
      </w:r>
    </w:p>
    <w:p w14:paraId="1690F3FA" w14:textId="77777777" w:rsidR="00FB0D24" w:rsidRPr="00431732" w:rsidRDefault="00FB0D24" w:rsidP="00431732">
      <w:pPr>
        <w:pStyle w:val="Estilo"/>
        <w:jc w:val="both"/>
        <w:rPr>
          <w:rFonts w:ascii="Open Sans" w:hAnsi="Open Sans" w:cs="Open Sans"/>
          <w:sz w:val="20"/>
          <w:szCs w:val="20"/>
          <w:shd w:val="clear" w:color="auto" w:fill="FFFFFF"/>
        </w:rPr>
      </w:pPr>
    </w:p>
    <w:p w14:paraId="51EC75F1" w14:textId="77777777" w:rsidR="00FB0D24"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 xml:space="preserve">Conforme previsto no Edital de Convocação, o envio da Instrução de Voto deverá ser realizado, preferencialmente, em até </w:t>
      </w:r>
      <w:r w:rsidRPr="00431732">
        <w:rPr>
          <w:rFonts w:ascii="Open Sans" w:hAnsi="Open Sans" w:cs="Open Sans"/>
          <w:sz w:val="20"/>
          <w:szCs w:val="20"/>
        </w:rPr>
        <w:t xml:space="preserve">48 (quarenta e oito) horas </w:t>
      </w:r>
      <w:r w:rsidRPr="00431732">
        <w:rPr>
          <w:rFonts w:ascii="Open Sans" w:hAnsi="Open Sans" w:cs="Open Sans"/>
          <w:sz w:val="20"/>
          <w:szCs w:val="20"/>
          <w:shd w:val="clear" w:color="auto" w:fill="FFFFFF"/>
        </w:rPr>
        <w:t xml:space="preserve">antes da realização da Assembleia. </w:t>
      </w:r>
    </w:p>
    <w:p w14:paraId="77757A43" w14:textId="77777777" w:rsidR="00FB0D24" w:rsidRPr="00431732" w:rsidRDefault="00FB0D24" w:rsidP="00431732">
      <w:pPr>
        <w:pStyle w:val="Estilo"/>
        <w:jc w:val="both"/>
        <w:rPr>
          <w:rFonts w:ascii="Open Sans" w:hAnsi="Open Sans" w:cs="Open Sans"/>
          <w:sz w:val="20"/>
          <w:szCs w:val="20"/>
          <w:shd w:val="clear" w:color="auto" w:fill="FFFFFF"/>
        </w:rPr>
      </w:pPr>
    </w:p>
    <w:p w14:paraId="70E042C4" w14:textId="431F652E" w:rsidR="00FB0D24"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Caso a Emissora e o Agente Fiduciário recebam mais de uma Instrução de Voto do mesmo Titular de CR</w:t>
      </w:r>
      <w:r w:rsidR="00481AC4" w:rsidRPr="00431732">
        <w:rPr>
          <w:rFonts w:ascii="Open Sans" w:hAnsi="Open Sans" w:cs="Open Sans"/>
          <w:sz w:val="20"/>
          <w:szCs w:val="20"/>
          <w:shd w:val="clear" w:color="auto" w:fill="FFFFFF"/>
        </w:rPr>
        <w:t>I</w:t>
      </w:r>
      <w:r w:rsidRPr="00431732">
        <w:rPr>
          <w:rFonts w:ascii="Open Sans" w:hAnsi="Open Sans" w:cs="Open Sans"/>
          <w:sz w:val="20"/>
          <w:szCs w:val="20"/>
          <w:shd w:val="clear" w:color="auto" w:fill="FFFFFF"/>
        </w:rPr>
        <w:t>, será considerada, para fins de contagem de votos na Assembleia, a Instrução de Voto mais recente enviada por tal Titular de CR</w:t>
      </w:r>
      <w:r w:rsidR="00481AC4" w:rsidRPr="00431732">
        <w:rPr>
          <w:rFonts w:ascii="Open Sans" w:hAnsi="Open Sans" w:cs="Open Sans"/>
          <w:sz w:val="20"/>
          <w:szCs w:val="20"/>
          <w:shd w:val="clear" w:color="auto" w:fill="FFFFFF"/>
        </w:rPr>
        <w:t>I</w:t>
      </w:r>
      <w:r w:rsidRPr="00431732">
        <w:rPr>
          <w:rFonts w:ascii="Open Sans" w:hAnsi="Open Sans" w:cs="Open Sans"/>
          <w:sz w:val="20"/>
          <w:szCs w:val="20"/>
          <w:shd w:val="clear" w:color="auto" w:fill="FFFFFF"/>
        </w:rPr>
        <w:t xml:space="preserve">. </w:t>
      </w:r>
    </w:p>
    <w:p w14:paraId="666E3EBB" w14:textId="77777777" w:rsidR="00FB0D24" w:rsidRPr="00431732" w:rsidRDefault="00FB0D24" w:rsidP="00431732">
      <w:pPr>
        <w:pStyle w:val="Estilo"/>
        <w:jc w:val="both"/>
        <w:rPr>
          <w:rFonts w:ascii="Open Sans" w:hAnsi="Open Sans" w:cs="Open Sans"/>
          <w:sz w:val="20"/>
          <w:szCs w:val="20"/>
          <w:shd w:val="clear" w:color="auto" w:fill="FFFFFF"/>
        </w:rPr>
      </w:pPr>
    </w:p>
    <w:p w14:paraId="2E696A92" w14:textId="77777777" w:rsidR="00FB0D24"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 xml:space="preserve">A Instrução de Voto e os documentos que a acompanham deverão observar o formato PDF e o limite de até 20 MB para envio dos anexos. </w:t>
      </w:r>
    </w:p>
    <w:p w14:paraId="1D2A2654" w14:textId="77777777" w:rsidR="00FB0D24" w:rsidRPr="00431732" w:rsidRDefault="00FB0D24" w:rsidP="00431732">
      <w:pPr>
        <w:pStyle w:val="Estilo"/>
        <w:jc w:val="both"/>
        <w:rPr>
          <w:rFonts w:ascii="Open Sans" w:hAnsi="Open Sans" w:cs="Open Sans"/>
          <w:sz w:val="20"/>
          <w:szCs w:val="20"/>
          <w:shd w:val="clear" w:color="auto" w:fill="FFFFFF"/>
        </w:rPr>
      </w:pPr>
    </w:p>
    <w:p w14:paraId="750D1C56" w14:textId="77777777" w:rsidR="00FB0D24"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 xml:space="preserve">A efetiva data de recebimento do voto será a data de recebimento, pela Emissora, da Instrução de Voto e de todos os documentos que a acompanham, em formato eletrônico, conforme indicado acima. </w:t>
      </w:r>
    </w:p>
    <w:p w14:paraId="1304F573" w14:textId="77777777" w:rsidR="00FB0D24" w:rsidRPr="00431732" w:rsidRDefault="00FB0D24" w:rsidP="00431732">
      <w:pPr>
        <w:pStyle w:val="Estilo"/>
        <w:jc w:val="both"/>
        <w:rPr>
          <w:rFonts w:ascii="Open Sans" w:hAnsi="Open Sans" w:cs="Open Sans"/>
          <w:sz w:val="20"/>
          <w:szCs w:val="20"/>
          <w:shd w:val="clear" w:color="auto" w:fill="FFFFFF"/>
        </w:rPr>
      </w:pPr>
    </w:p>
    <w:p w14:paraId="4048E6F6" w14:textId="6FA6C5A1" w:rsidR="00FB0D24"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O Titular de CR</w:t>
      </w:r>
      <w:r w:rsidR="00481AC4" w:rsidRPr="00431732">
        <w:rPr>
          <w:rFonts w:ascii="Open Sans" w:hAnsi="Open Sans" w:cs="Open Sans"/>
          <w:sz w:val="20"/>
          <w:szCs w:val="20"/>
          <w:shd w:val="clear" w:color="auto" w:fill="FFFFFF"/>
        </w:rPr>
        <w:t>I</w:t>
      </w:r>
      <w:r w:rsidRPr="00431732">
        <w:rPr>
          <w:rFonts w:ascii="Open Sans" w:hAnsi="Open Sans" w:cs="Open Sans"/>
          <w:sz w:val="20"/>
          <w:szCs w:val="20"/>
          <w:shd w:val="clear" w:color="auto" w:fill="FFFFFF"/>
        </w:rPr>
        <w:t xml:space="preserve"> que fizer o envio da Instrução de Voto e esta for considerada válida não precisará acessar o </w:t>
      </w:r>
      <w:r w:rsidRPr="00431732">
        <w:rPr>
          <w:rFonts w:ascii="Open Sans" w:hAnsi="Open Sans" w:cs="Open Sans"/>
          <w:i/>
          <w:iCs/>
          <w:sz w:val="20"/>
          <w:szCs w:val="20"/>
          <w:shd w:val="clear" w:color="auto" w:fill="FFFFFF"/>
        </w:rPr>
        <w:t>link</w:t>
      </w:r>
      <w:r w:rsidRPr="00431732">
        <w:rPr>
          <w:rFonts w:ascii="Open Sans" w:hAnsi="Open Sans" w:cs="Open Sans"/>
          <w:sz w:val="20"/>
          <w:szCs w:val="20"/>
          <w:shd w:val="clear" w:color="auto" w:fill="FFFFFF"/>
        </w:rPr>
        <w:t xml:space="preserve"> para participação digital da Assembleia, sendo sua participação e voto computados de forma automática, sem prejuízo da possibilidade de sua simples participação na Assembleia, na forma prevista no artigo 3º, § 4º, inciso I, da Instrução CVM 625. Contudo, será</w:t>
      </w:r>
      <w:r w:rsidR="004B051C" w:rsidRPr="00431732">
        <w:rPr>
          <w:rFonts w:ascii="Open Sans" w:hAnsi="Open Sans" w:cs="Open Sans"/>
          <w:sz w:val="20"/>
          <w:szCs w:val="20"/>
          <w:shd w:val="clear" w:color="auto" w:fill="FFFFFF"/>
        </w:rPr>
        <w:t xml:space="preserve"> </w:t>
      </w:r>
      <w:r w:rsidRPr="00431732">
        <w:rPr>
          <w:rFonts w:ascii="Open Sans" w:hAnsi="Open Sans" w:cs="Open Sans"/>
          <w:sz w:val="20"/>
          <w:szCs w:val="20"/>
          <w:shd w:val="clear" w:color="auto" w:fill="FFFFFF"/>
        </w:rPr>
        <w:t>desconsiderada a Instrução de Voto anteriormente enviada por tal Titular de CR</w:t>
      </w:r>
      <w:r w:rsidR="00481AC4" w:rsidRPr="00431732">
        <w:rPr>
          <w:rFonts w:ascii="Open Sans" w:hAnsi="Open Sans" w:cs="Open Sans"/>
          <w:sz w:val="20"/>
          <w:szCs w:val="20"/>
          <w:shd w:val="clear" w:color="auto" w:fill="FFFFFF"/>
        </w:rPr>
        <w:t>I</w:t>
      </w:r>
      <w:r w:rsidRPr="00431732">
        <w:rPr>
          <w:rFonts w:ascii="Open Sans" w:hAnsi="Open Sans" w:cs="Open Sans"/>
          <w:sz w:val="20"/>
          <w:szCs w:val="20"/>
          <w:shd w:val="clear" w:color="auto" w:fill="FFFFFF"/>
        </w:rPr>
        <w:t xml:space="preserve"> ou por seu representante legal caso estes participem da Assembleia através de acesso ao </w:t>
      </w:r>
      <w:r w:rsidRPr="00431732">
        <w:rPr>
          <w:rFonts w:ascii="Open Sans" w:hAnsi="Open Sans" w:cs="Open Sans"/>
          <w:i/>
          <w:iCs/>
          <w:sz w:val="20"/>
          <w:szCs w:val="20"/>
          <w:shd w:val="clear" w:color="auto" w:fill="FFFFFF"/>
        </w:rPr>
        <w:t>link</w:t>
      </w:r>
      <w:r w:rsidRPr="00431732">
        <w:rPr>
          <w:rFonts w:ascii="Open Sans" w:hAnsi="Open Sans" w:cs="Open Sans"/>
          <w:sz w:val="20"/>
          <w:szCs w:val="20"/>
          <w:shd w:val="clear" w:color="auto" w:fill="FFFFFF"/>
        </w:rPr>
        <w:t xml:space="preserve"> e, cumulativamente, manifestem seu voto no ato de realização da Assembleia, conforme disposto no artigo 3º, § 4º, inciso II, no artigo 7º, § 1º, e no artigo 9º, inciso I, todos da Instrução CVM 625. </w:t>
      </w:r>
    </w:p>
    <w:p w14:paraId="47D14F52" w14:textId="77777777" w:rsidR="00FB0D24" w:rsidRPr="00431732" w:rsidRDefault="00FB0D24" w:rsidP="00431732">
      <w:pPr>
        <w:pStyle w:val="Estilo"/>
        <w:jc w:val="both"/>
        <w:rPr>
          <w:rFonts w:ascii="Open Sans" w:hAnsi="Open Sans" w:cs="Open Sans"/>
          <w:sz w:val="20"/>
          <w:szCs w:val="20"/>
          <w:shd w:val="clear" w:color="auto" w:fill="FFFFFF"/>
        </w:rPr>
      </w:pPr>
    </w:p>
    <w:p w14:paraId="563F4170" w14:textId="77777777" w:rsidR="00E01E0D" w:rsidRPr="00431732" w:rsidRDefault="00FB0D24" w:rsidP="00431732">
      <w:pPr>
        <w:pStyle w:val="Estilo"/>
        <w:jc w:val="both"/>
        <w:rPr>
          <w:rFonts w:ascii="Open Sans" w:hAnsi="Open Sans" w:cs="Open Sans"/>
          <w:sz w:val="20"/>
          <w:szCs w:val="20"/>
          <w:shd w:val="clear" w:color="auto" w:fill="FFFFFF"/>
        </w:rPr>
      </w:pPr>
      <w:r w:rsidRPr="00431732">
        <w:rPr>
          <w:rFonts w:ascii="Open Sans" w:hAnsi="Open Sans" w:cs="Open Sans"/>
          <w:sz w:val="20"/>
          <w:szCs w:val="20"/>
          <w:shd w:val="clear" w:color="auto" w:fill="FFFFFF"/>
        </w:rPr>
        <w:t>A Emissora coloca-se à disposição para prestar quaisquer esclarecimentos adicionais que se façam necessários.</w:t>
      </w:r>
      <w:r w:rsidR="00A964AD" w:rsidRPr="00431732">
        <w:rPr>
          <w:rFonts w:ascii="Open Sans" w:hAnsi="Open Sans" w:cs="Open Sans"/>
          <w:sz w:val="20"/>
          <w:szCs w:val="20"/>
          <w:shd w:val="clear" w:color="auto" w:fill="FFFFFF"/>
        </w:rPr>
        <w:t xml:space="preserve"> </w:t>
      </w:r>
    </w:p>
    <w:p w14:paraId="475DEFC5" w14:textId="77777777" w:rsidR="00E01E0D" w:rsidRPr="00431732" w:rsidRDefault="00E01E0D" w:rsidP="00431732">
      <w:pPr>
        <w:pStyle w:val="Estilo"/>
        <w:jc w:val="both"/>
        <w:rPr>
          <w:rFonts w:ascii="Open Sans" w:hAnsi="Open Sans" w:cs="Open Sans"/>
          <w:sz w:val="20"/>
          <w:szCs w:val="20"/>
          <w:shd w:val="clear" w:color="auto" w:fill="FFFFFF"/>
        </w:rPr>
      </w:pPr>
    </w:p>
    <w:p w14:paraId="5E83B002" w14:textId="53BE5208" w:rsidR="008C3134" w:rsidRPr="00431732" w:rsidRDefault="00FB0D24" w:rsidP="00431732">
      <w:pPr>
        <w:pStyle w:val="Estilo"/>
        <w:jc w:val="center"/>
        <w:rPr>
          <w:rFonts w:ascii="Open Sans" w:hAnsi="Open Sans" w:cs="Open Sans"/>
          <w:sz w:val="20"/>
          <w:szCs w:val="20"/>
        </w:rPr>
      </w:pPr>
      <w:r w:rsidRPr="00431732">
        <w:rPr>
          <w:rFonts w:ascii="Open Sans" w:hAnsi="Open Sans" w:cs="Open Sans"/>
          <w:sz w:val="20"/>
          <w:szCs w:val="20"/>
          <w:shd w:val="clear" w:color="auto" w:fill="FFFFFF"/>
        </w:rPr>
        <w:t>* * * * *</w:t>
      </w:r>
    </w:p>
    <w:p w14:paraId="681F6730" w14:textId="77777777" w:rsidR="00502E5A" w:rsidRPr="00431732" w:rsidRDefault="00502E5A">
      <w:pPr>
        <w:pStyle w:val="Estilo"/>
        <w:jc w:val="center"/>
        <w:rPr>
          <w:rFonts w:ascii="Open Sans" w:hAnsi="Open Sans" w:cs="Open Sans"/>
          <w:sz w:val="20"/>
          <w:szCs w:val="20"/>
        </w:rPr>
      </w:pPr>
    </w:p>
    <w:sectPr w:rsidR="00502E5A" w:rsidRPr="00431732" w:rsidSect="00BE4F7B">
      <w:headerReference w:type="default" r:id="rId11"/>
      <w:headerReference w:type="first" r:id="rId12"/>
      <w:pgSz w:w="11900" w:h="16840"/>
      <w:pgMar w:top="1417" w:right="1701" w:bottom="1276" w:left="1701" w:header="397" w:footer="12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216C" w14:textId="77777777" w:rsidR="00A85FF8" w:rsidRDefault="00A85FF8" w:rsidP="00421DD1">
      <w:r>
        <w:separator/>
      </w:r>
    </w:p>
  </w:endnote>
  <w:endnote w:type="continuationSeparator" w:id="0">
    <w:p w14:paraId="6B59616C" w14:textId="77777777" w:rsidR="00A85FF8" w:rsidRDefault="00A85FF8" w:rsidP="0042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Interstate-Ligh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13A21" w14:textId="77777777" w:rsidR="00A85FF8" w:rsidRDefault="00A85FF8" w:rsidP="00421DD1">
      <w:r>
        <w:separator/>
      </w:r>
    </w:p>
  </w:footnote>
  <w:footnote w:type="continuationSeparator" w:id="0">
    <w:p w14:paraId="3032D66F" w14:textId="77777777" w:rsidR="00A85FF8" w:rsidRDefault="00A85FF8" w:rsidP="0042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3C1A" w14:textId="7DD2280C" w:rsidR="003854BB" w:rsidRDefault="00F80A5F" w:rsidP="003854BB">
    <w:pPr>
      <w:pStyle w:val="Cabealho"/>
      <w:tabs>
        <w:tab w:val="clear" w:pos="4320"/>
        <w:tab w:val="clear" w:pos="8640"/>
        <w:tab w:val="left" w:pos="2677"/>
      </w:tabs>
    </w:pPr>
    <w:r>
      <w:tab/>
    </w:r>
  </w:p>
  <w:p w14:paraId="33F5DDA7" w14:textId="6F53D2FD" w:rsidR="000604A2" w:rsidRDefault="003854BB" w:rsidP="003854BB">
    <w:pPr>
      <w:pStyle w:val="Cabealho"/>
      <w:tabs>
        <w:tab w:val="clear" w:pos="4320"/>
        <w:tab w:val="clear" w:pos="8640"/>
        <w:tab w:val="left" w:pos="1971"/>
      </w:tabs>
    </w:pPr>
    <w:r>
      <w:rPr>
        <w:noProof/>
        <w:lang w:eastAsia="pt-BR"/>
      </w:rPr>
      <w:drawing>
        <wp:anchor distT="0" distB="0" distL="114300" distR="114300" simplePos="0" relativeHeight="251665408" behindDoc="0" locked="0" layoutInCell="1" allowOverlap="1" wp14:anchorId="01B69544" wp14:editId="548904CE">
          <wp:simplePos x="0" y="0"/>
          <wp:positionH relativeFrom="margin">
            <wp:posOffset>-145581</wp:posOffset>
          </wp:positionH>
          <wp:positionV relativeFrom="margin">
            <wp:posOffset>-1010285</wp:posOffset>
          </wp:positionV>
          <wp:extent cx="2101215" cy="581025"/>
          <wp:effectExtent l="0" t="0" r="6985" b="3175"/>
          <wp:wrapSquare wrapText="bothSides"/>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drigues_Jordan.png"/>
                  <pic:cNvPicPr/>
                </pic:nvPicPr>
                <pic:blipFill>
                  <a:blip r:embed="rId1">
                    <a:extLst>
                      <a:ext uri="{28A0092B-C50C-407E-A947-70E740481C1C}">
                        <a14:useLocalDpi xmlns:a14="http://schemas.microsoft.com/office/drawing/2010/main" val="0"/>
                      </a:ext>
                    </a:extLst>
                  </a:blip>
                  <a:stretch>
                    <a:fillRect/>
                  </a:stretch>
                </pic:blipFill>
                <pic:spPr>
                  <a:xfrm>
                    <a:off x="0" y="0"/>
                    <a:ext cx="2101215" cy="581025"/>
                  </a:xfrm>
                  <a:prstGeom prst="rect">
                    <a:avLst/>
                  </a:prstGeom>
                </pic:spPr>
              </pic:pic>
            </a:graphicData>
          </a:graphic>
          <wp14:sizeRelH relativeFrom="margin">
            <wp14:pctWidth>0</wp14:pctWidth>
          </wp14:sizeRelH>
          <wp14:sizeRelV relativeFrom="margin">
            <wp14:pctHeight>0</wp14:pctHeight>
          </wp14:sizeRelV>
        </wp:anchor>
      </w:drawing>
    </w:r>
  </w:p>
  <w:p w14:paraId="7A452323" w14:textId="1B1C5461" w:rsidR="000604A2" w:rsidRDefault="000604A2" w:rsidP="00421DD1">
    <w:pPr>
      <w:pStyle w:val="Cabealho"/>
    </w:pPr>
  </w:p>
  <w:p w14:paraId="4A63F550" w14:textId="1D37069E" w:rsidR="000604A2" w:rsidRDefault="0050100E" w:rsidP="0050100E">
    <w:pPr>
      <w:pStyle w:val="Cabealho"/>
      <w:tabs>
        <w:tab w:val="clear" w:pos="4320"/>
        <w:tab w:val="clear" w:pos="8640"/>
        <w:tab w:val="left" w:pos="1428"/>
      </w:tabs>
    </w:pPr>
    <w:r>
      <w:tab/>
    </w:r>
  </w:p>
  <w:p w14:paraId="77C6D9C6" w14:textId="77777777" w:rsidR="000604A2" w:rsidRDefault="000604A2" w:rsidP="00421DD1">
    <w:pPr>
      <w:pStyle w:val="Cabealho"/>
    </w:pPr>
  </w:p>
  <w:p w14:paraId="29BAC356" w14:textId="38546909" w:rsidR="00A646AF" w:rsidRDefault="00A646AF" w:rsidP="00421DD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EDD98" w14:textId="6C08F38B" w:rsidR="00A646AF" w:rsidRDefault="001D2B7F">
    <w:pPr>
      <w:pStyle w:val="Cabealho"/>
    </w:pPr>
    <w:r>
      <w:rPr>
        <w:noProof/>
        <w:lang w:eastAsia="pt-BR"/>
      </w:rPr>
      <w:drawing>
        <wp:anchor distT="0" distB="0" distL="114300" distR="114300" simplePos="0" relativeHeight="251663360" behindDoc="0" locked="0" layoutInCell="1" allowOverlap="1" wp14:anchorId="4E2401A2" wp14:editId="74B3D34C">
          <wp:simplePos x="0" y="0"/>
          <wp:positionH relativeFrom="margin">
            <wp:posOffset>-668655</wp:posOffset>
          </wp:positionH>
          <wp:positionV relativeFrom="margin">
            <wp:posOffset>-1008702</wp:posOffset>
          </wp:positionV>
          <wp:extent cx="2101215" cy="581025"/>
          <wp:effectExtent l="0" t="0" r="0" b="9525"/>
          <wp:wrapSquare wrapText="bothSides"/>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odrigues_Jordan.png"/>
                  <pic:cNvPicPr/>
                </pic:nvPicPr>
                <pic:blipFill>
                  <a:blip r:embed="rId1">
                    <a:extLst>
                      <a:ext uri="{28A0092B-C50C-407E-A947-70E740481C1C}">
                        <a14:useLocalDpi xmlns:a14="http://schemas.microsoft.com/office/drawing/2010/main" val="0"/>
                      </a:ext>
                    </a:extLst>
                  </a:blip>
                  <a:stretch>
                    <a:fillRect/>
                  </a:stretch>
                </pic:blipFill>
                <pic:spPr>
                  <a:xfrm>
                    <a:off x="0" y="0"/>
                    <a:ext cx="2101215" cy="581025"/>
                  </a:xfrm>
                  <a:prstGeom prst="rect">
                    <a:avLst/>
                  </a:prstGeom>
                </pic:spPr>
              </pic:pic>
            </a:graphicData>
          </a:graphic>
          <wp14:sizeRelH relativeFrom="margin">
            <wp14:pctWidth>0</wp14:pctWidth>
          </wp14:sizeRelH>
          <wp14:sizeRelV relativeFrom="margin">
            <wp14:pctHeight>0</wp14:pctHeight>
          </wp14:sizeRelV>
        </wp:anchor>
      </w:drawing>
    </w:r>
  </w:p>
  <w:p w14:paraId="7387E808" w14:textId="48D344F3" w:rsidR="00A646AF" w:rsidRDefault="00CB2856" w:rsidP="00CB2856">
    <w:pPr>
      <w:pStyle w:val="Cabealho"/>
      <w:tabs>
        <w:tab w:val="clear" w:pos="4320"/>
        <w:tab w:val="clear" w:pos="8640"/>
        <w:tab w:val="left" w:pos="1971"/>
      </w:tabs>
    </w:pPr>
    <w:r>
      <w:tab/>
    </w:r>
  </w:p>
  <w:p w14:paraId="3FDD769D" w14:textId="7A0C3EFA" w:rsidR="00A646AF" w:rsidRDefault="000604A2" w:rsidP="000604A2">
    <w:pPr>
      <w:pStyle w:val="Cabealho"/>
      <w:tabs>
        <w:tab w:val="clear" w:pos="4320"/>
        <w:tab w:val="clear" w:pos="8640"/>
        <w:tab w:val="left" w:pos="2276"/>
      </w:tabs>
    </w:pPr>
    <w:r>
      <w:tab/>
    </w:r>
  </w:p>
  <w:p w14:paraId="67C7EA9E" w14:textId="5062806C" w:rsidR="00A646AF" w:rsidRDefault="00A646AF">
    <w:pPr>
      <w:pStyle w:val="Cabealho"/>
    </w:pPr>
  </w:p>
  <w:p w14:paraId="1096B829" w14:textId="77777777" w:rsidR="000604A2" w:rsidRDefault="000604A2">
    <w:pPr>
      <w:pStyle w:val="Cabealho"/>
    </w:pPr>
  </w:p>
  <w:p w14:paraId="0264F36B" w14:textId="77777777" w:rsidR="005B671D" w:rsidRDefault="005B671D">
    <w:pPr>
      <w:pStyle w:val="Cabealho"/>
    </w:pPr>
  </w:p>
  <w:p w14:paraId="6161EDD5" w14:textId="77777777" w:rsidR="00A646AF" w:rsidRPr="000604A2" w:rsidRDefault="00A646AF">
    <w:pPr>
      <w:pStyle w:val="Cabealho"/>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6525"/>
    <w:multiLevelType w:val="hybridMultilevel"/>
    <w:tmpl w:val="18D6147E"/>
    <w:lvl w:ilvl="0" w:tplc="E3E69880">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604540"/>
    <w:multiLevelType w:val="hybridMultilevel"/>
    <w:tmpl w:val="C23AB3F2"/>
    <w:lvl w:ilvl="0" w:tplc="BF9E95D6">
      <w:start w:val="1"/>
      <w:numFmt w:val="lowerRoman"/>
      <w:lvlText w:val="(%1)"/>
      <w:lvlJc w:val="right"/>
      <w:pPr>
        <w:ind w:left="720" w:hanging="360"/>
      </w:pPr>
      <w:rPr>
        <w:rFonts w:ascii="Open Sans" w:hAnsi="Open Sans" w:cs="Open San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25021"/>
    <w:multiLevelType w:val="hybridMultilevel"/>
    <w:tmpl w:val="EE34FA7C"/>
    <w:lvl w:ilvl="0" w:tplc="CC1A8EAE">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AC47FCF"/>
    <w:multiLevelType w:val="multilevel"/>
    <w:tmpl w:val="E12E2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2B2"/>
    <w:multiLevelType w:val="multilevel"/>
    <w:tmpl w:val="3154F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7E1C"/>
    <w:multiLevelType w:val="multilevel"/>
    <w:tmpl w:val="B98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02E76"/>
    <w:multiLevelType w:val="hybridMultilevel"/>
    <w:tmpl w:val="30F0B2C0"/>
    <w:lvl w:ilvl="0" w:tplc="11D09842">
      <w:start w:val="1"/>
      <w:numFmt w:val="low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453C27"/>
    <w:multiLevelType w:val="multilevel"/>
    <w:tmpl w:val="D174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F7AEA"/>
    <w:multiLevelType w:val="hybridMultilevel"/>
    <w:tmpl w:val="8E56FD02"/>
    <w:lvl w:ilvl="0" w:tplc="DD4EA78A">
      <w:start w:val="1"/>
      <w:numFmt w:val="low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8B46494"/>
    <w:multiLevelType w:val="multilevel"/>
    <w:tmpl w:val="8904B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E615E6"/>
    <w:multiLevelType w:val="hybridMultilevel"/>
    <w:tmpl w:val="90C44C5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5"/>
  </w:num>
  <w:num w:numId="2">
    <w:abstractNumId w:val="7"/>
  </w:num>
  <w:num w:numId="3">
    <w:abstractNumId w:val="4"/>
    <w:lvlOverride w:ilvl="0">
      <w:lvl w:ilvl="0">
        <w:numFmt w:val="decimal"/>
        <w:lvlText w:val="%1."/>
        <w:lvlJc w:val="left"/>
      </w:lvl>
    </w:lvlOverride>
  </w:num>
  <w:num w:numId="4">
    <w:abstractNumId w:val="9"/>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num>
  <w:num w:numId="7">
    <w:abstractNumId w:val="1"/>
  </w:num>
  <w:num w:numId="8">
    <w:abstractNumId w:val="1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D1"/>
    <w:rsid w:val="00002654"/>
    <w:rsid w:val="000334DF"/>
    <w:rsid w:val="000604A2"/>
    <w:rsid w:val="000728FB"/>
    <w:rsid w:val="000B7506"/>
    <w:rsid w:val="000D4080"/>
    <w:rsid w:val="000F505D"/>
    <w:rsid w:val="000F62F0"/>
    <w:rsid w:val="00104AA6"/>
    <w:rsid w:val="00107AB4"/>
    <w:rsid w:val="001626E6"/>
    <w:rsid w:val="00180328"/>
    <w:rsid w:val="001833FF"/>
    <w:rsid w:val="001B6CCE"/>
    <w:rsid w:val="001C3567"/>
    <w:rsid w:val="001D1A7E"/>
    <w:rsid w:val="001D2B7F"/>
    <w:rsid w:val="001D7C58"/>
    <w:rsid w:val="001E3E7C"/>
    <w:rsid w:val="001F020C"/>
    <w:rsid w:val="00207A8F"/>
    <w:rsid w:val="00223B78"/>
    <w:rsid w:val="002408B2"/>
    <w:rsid w:val="0024169B"/>
    <w:rsid w:val="00287D67"/>
    <w:rsid w:val="002C0AE4"/>
    <w:rsid w:val="00300504"/>
    <w:rsid w:val="0033167B"/>
    <w:rsid w:val="00352FD7"/>
    <w:rsid w:val="00375216"/>
    <w:rsid w:val="003854BB"/>
    <w:rsid w:val="003A5912"/>
    <w:rsid w:val="003C3BED"/>
    <w:rsid w:val="003E1A4F"/>
    <w:rsid w:val="003E46A9"/>
    <w:rsid w:val="00407DC5"/>
    <w:rsid w:val="00420E3A"/>
    <w:rsid w:val="00421DD1"/>
    <w:rsid w:val="00431732"/>
    <w:rsid w:val="004404DE"/>
    <w:rsid w:val="00477297"/>
    <w:rsid w:val="00481AC4"/>
    <w:rsid w:val="00482022"/>
    <w:rsid w:val="00483DFE"/>
    <w:rsid w:val="004859DC"/>
    <w:rsid w:val="004B051C"/>
    <w:rsid w:val="005004CF"/>
    <w:rsid w:val="0050100E"/>
    <w:rsid w:val="00502E5A"/>
    <w:rsid w:val="00521102"/>
    <w:rsid w:val="005350A6"/>
    <w:rsid w:val="00545A99"/>
    <w:rsid w:val="005614DB"/>
    <w:rsid w:val="00576025"/>
    <w:rsid w:val="00580321"/>
    <w:rsid w:val="00583423"/>
    <w:rsid w:val="005956FF"/>
    <w:rsid w:val="0059614C"/>
    <w:rsid w:val="005A08C8"/>
    <w:rsid w:val="005B671D"/>
    <w:rsid w:val="005B76D0"/>
    <w:rsid w:val="005C019D"/>
    <w:rsid w:val="005E1C28"/>
    <w:rsid w:val="005F43DF"/>
    <w:rsid w:val="005F778A"/>
    <w:rsid w:val="00607502"/>
    <w:rsid w:val="006215B7"/>
    <w:rsid w:val="006320BE"/>
    <w:rsid w:val="00640CD8"/>
    <w:rsid w:val="006501DC"/>
    <w:rsid w:val="00650D59"/>
    <w:rsid w:val="006736F6"/>
    <w:rsid w:val="006866FD"/>
    <w:rsid w:val="00697793"/>
    <w:rsid w:val="006C7A91"/>
    <w:rsid w:val="006F1735"/>
    <w:rsid w:val="00711F1A"/>
    <w:rsid w:val="00714F2C"/>
    <w:rsid w:val="00736439"/>
    <w:rsid w:val="00786B2A"/>
    <w:rsid w:val="0079733C"/>
    <w:rsid w:val="007A3B89"/>
    <w:rsid w:val="007E6EBF"/>
    <w:rsid w:val="007E7F1F"/>
    <w:rsid w:val="007F57D3"/>
    <w:rsid w:val="007F5A7D"/>
    <w:rsid w:val="007F75F2"/>
    <w:rsid w:val="008012BE"/>
    <w:rsid w:val="00803FCA"/>
    <w:rsid w:val="008139B6"/>
    <w:rsid w:val="00840295"/>
    <w:rsid w:val="0086322A"/>
    <w:rsid w:val="00871DF6"/>
    <w:rsid w:val="008C3134"/>
    <w:rsid w:val="00911964"/>
    <w:rsid w:val="0091214D"/>
    <w:rsid w:val="009238FF"/>
    <w:rsid w:val="009459B7"/>
    <w:rsid w:val="009710B4"/>
    <w:rsid w:val="00976CFB"/>
    <w:rsid w:val="009C0546"/>
    <w:rsid w:val="009C14A5"/>
    <w:rsid w:val="009C64AC"/>
    <w:rsid w:val="009D17C4"/>
    <w:rsid w:val="009E776C"/>
    <w:rsid w:val="009F41DB"/>
    <w:rsid w:val="00A24A0D"/>
    <w:rsid w:val="00A646AF"/>
    <w:rsid w:val="00A85FF8"/>
    <w:rsid w:val="00A964AD"/>
    <w:rsid w:val="00AA7020"/>
    <w:rsid w:val="00AC64EA"/>
    <w:rsid w:val="00AC6D95"/>
    <w:rsid w:val="00AF29D9"/>
    <w:rsid w:val="00AF5DE0"/>
    <w:rsid w:val="00B0580D"/>
    <w:rsid w:val="00B4515C"/>
    <w:rsid w:val="00B70208"/>
    <w:rsid w:val="00B715C6"/>
    <w:rsid w:val="00B73B75"/>
    <w:rsid w:val="00BA27A0"/>
    <w:rsid w:val="00BA50C4"/>
    <w:rsid w:val="00BB14B1"/>
    <w:rsid w:val="00BC2FE8"/>
    <w:rsid w:val="00BC543A"/>
    <w:rsid w:val="00BE4F7B"/>
    <w:rsid w:val="00BF0670"/>
    <w:rsid w:val="00C01C0E"/>
    <w:rsid w:val="00C41816"/>
    <w:rsid w:val="00C42CED"/>
    <w:rsid w:val="00C45A67"/>
    <w:rsid w:val="00C5187C"/>
    <w:rsid w:val="00CA6105"/>
    <w:rsid w:val="00CA70F4"/>
    <w:rsid w:val="00CB2856"/>
    <w:rsid w:val="00CF7875"/>
    <w:rsid w:val="00D30CA2"/>
    <w:rsid w:val="00D73198"/>
    <w:rsid w:val="00D92C2E"/>
    <w:rsid w:val="00D96E5D"/>
    <w:rsid w:val="00DB5177"/>
    <w:rsid w:val="00DB5B7F"/>
    <w:rsid w:val="00DF608D"/>
    <w:rsid w:val="00E01E0D"/>
    <w:rsid w:val="00E02B84"/>
    <w:rsid w:val="00E44B39"/>
    <w:rsid w:val="00E542B2"/>
    <w:rsid w:val="00E547A4"/>
    <w:rsid w:val="00E55133"/>
    <w:rsid w:val="00E90E14"/>
    <w:rsid w:val="00EA0716"/>
    <w:rsid w:val="00EC10DA"/>
    <w:rsid w:val="00ED0EE2"/>
    <w:rsid w:val="00EE1860"/>
    <w:rsid w:val="00F06AA6"/>
    <w:rsid w:val="00F10B35"/>
    <w:rsid w:val="00F14452"/>
    <w:rsid w:val="00F343EF"/>
    <w:rsid w:val="00F45F8B"/>
    <w:rsid w:val="00F51CB5"/>
    <w:rsid w:val="00F80A5F"/>
    <w:rsid w:val="00F82E8E"/>
    <w:rsid w:val="00F85F1F"/>
    <w:rsid w:val="00F86361"/>
    <w:rsid w:val="00F91067"/>
    <w:rsid w:val="00FB0D24"/>
    <w:rsid w:val="00FE292B"/>
    <w:rsid w:val="00FE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5A0D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pt-BR"/>
    </w:rPr>
  </w:style>
  <w:style w:type="paragraph" w:styleId="Ttulo1">
    <w:name w:val="heading 1"/>
    <w:basedOn w:val="Normal"/>
    <w:next w:val="Normal"/>
    <w:link w:val="Ttulo1Char"/>
    <w:uiPriority w:val="9"/>
    <w:qFormat/>
    <w:rsid w:val="00421D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1DD1"/>
    <w:pPr>
      <w:tabs>
        <w:tab w:val="center" w:pos="4320"/>
        <w:tab w:val="right" w:pos="8640"/>
      </w:tabs>
    </w:pPr>
  </w:style>
  <w:style w:type="character" w:customStyle="1" w:styleId="CabealhoChar">
    <w:name w:val="Cabeçalho Char"/>
    <w:basedOn w:val="Fontepargpadro"/>
    <w:link w:val="Cabealho"/>
    <w:uiPriority w:val="99"/>
    <w:rsid w:val="00421DD1"/>
    <w:rPr>
      <w:lang w:val="pt-BR"/>
    </w:rPr>
  </w:style>
  <w:style w:type="paragraph" w:styleId="Rodap">
    <w:name w:val="footer"/>
    <w:basedOn w:val="Normal"/>
    <w:link w:val="RodapChar"/>
    <w:uiPriority w:val="99"/>
    <w:unhideWhenUsed/>
    <w:rsid w:val="00421DD1"/>
    <w:pPr>
      <w:tabs>
        <w:tab w:val="center" w:pos="4320"/>
        <w:tab w:val="right" w:pos="8640"/>
      </w:tabs>
    </w:pPr>
  </w:style>
  <w:style w:type="character" w:customStyle="1" w:styleId="RodapChar">
    <w:name w:val="Rodapé Char"/>
    <w:basedOn w:val="Fontepargpadro"/>
    <w:link w:val="Rodap"/>
    <w:uiPriority w:val="99"/>
    <w:rsid w:val="00421DD1"/>
    <w:rPr>
      <w:lang w:val="pt-BR"/>
    </w:rPr>
  </w:style>
  <w:style w:type="paragraph" w:styleId="Textodebalo">
    <w:name w:val="Balloon Text"/>
    <w:basedOn w:val="Normal"/>
    <w:link w:val="TextodebaloChar"/>
    <w:uiPriority w:val="99"/>
    <w:semiHidden/>
    <w:unhideWhenUsed/>
    <w:rsid w:val="00421DD1"/>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21DD1"/>
    <w:rPr>
      <w:rFonts w:ascii="Lucida Grande" w:hAnsi="Lucida Grande" w:cs="Lucida Grande"/>
      <w:sz w:val="18"/>
      <w:szCs w:val="18"/>
      <w:lang w:val="pt-BR"/>
    </w:rPr>
  </w:style>
  <w:style w:type="character" w:customStyle="1" w:styleId="Ttulo1Char">
    <w:name w:val="Título 1 Char"/>
    <w:basedOn w:val="Fontepargpadro"/>
    <w:link w:val="Ttulo1"/>
    <w:uiPriority w:val="9"/>
    <w:rsid w:val="00421DD1"/>
    <w:rPr>
      <w:rFonts w:asciiTheme="majorHAnsi" w:eastAsiaTheme="majorEastAsia" w:hAnsiTheme="majorHAnsi" w:cstheme="majorBidi"/>
      <w:b/>
      <w:bCs/>
      <w:color w:val="345A8A" w:themeColor="accent1" w:themeShade="B5"/>
      <w:sz w:val="32"/>
      <w:szCs w:val="32"/>
      <w:lang w:val="pt-BR"/>
    </w:rPr>
  </w:style>
  <w:style w:type="paragraph" w:customStyle="1" w:styleId="textocorridocinza">
    <w:name w:val="texto corrido cinza"/>
    <w:basedOn w:val="Normal"/>
    <w:uiPriority w:val="99"/>
    <w:rsid w:val="001E3E7C"/>
    <w:pPr>
      <w:widowControl w:val="0"/>
      <w:autoSpaceDE w:val="0"/>
      <w:autoSpaceDN w:val="0"/>
      <w:adjustRightInd w:val="0"/>
      <w:spacing w:line="360" w:lineRule="atLeast"/>
      <w:jc w:val="both"/>
      <w:textAlignment w:val="center"/>
    </w:pPr>
    <w:rPr>
      <w:rFonts w:ascii="Interstate-Light" w:hAnsi="Interstate-Light" w:cs="Interstate-Light"/>
      <w:color w:val="323232"/>
      <w:sz w:val="22"/>
      <w:szCs w:val="22"/>
    </w:rPr>
  </w:style>
  <w:style w:type="paragraph" w:styleId="NormalWeb">
    <w:name w:val="Normal (Web)"/>
    <w:basedOn w:val="Normal"/>
    <w:uiPriority w:val="99"/>
    <w:unhideWhenUsed/>
    <w:rsid w:val="00420E3A"/>
    <w:pPr>
      <w:spacing w:before="100" w:beforeAutospacing="1" w:after="100" w:afterAutospacing="1"/>
    </w:pPr>
    <w:rPr>
      <w:rFonts w:ascii="Times New Roman" w:hAnsi="Times New Roman" w:cs="Times New Roman"/>
      <w:lang w:eastAsia="pt-BR"/>
    </w:rPr>
  </w:style>
  <w:style w:type="character" w:styleId="Hyperlink">
    <w:name w:val="Hyperlink"/>
    <w:basedOn w:val="Fontepargpadro"/>
    <w:uiPriority w:val="99"/>
    <w:semiHidden/>
    <w:unhideWhenUsed/>
    <w:rsid w:val="006866FD"/>
    <w:rPr>
      <w:color w:val="0000FF"/>
      <w:u w:val="single"/>
    </w:rPr>
  </w:style>
  <w:style w:type="paragraph" w:customStyle="1" w:styleId="Estilo">
    <w:name w:val="Estilo"/>
    <w:rsid w:val="00FB0D24"/>
    <w:pPr>
      <w:widowControl w:val="0"/>
      <w:autoSpaceDE w:val="0"/>
      <w:autoSpaceDN w:val="0"/>
      <w:adjustRightInd w:val="0"/>
    </w:pPr>
    <w:rPr>
      <w:rFonts w:ascii="Times New Roman" w:eastAsia="Times New Roman" w:hAnsi="Times New Roman" w:cs="Times New Roman"/>
      <w:lang w:val="pt-BR" w:eastAsia="pt-BR"/>
    </w:rPr>
  </w:style>
  <w:style w:type="paragraph" w:styleId="PargrafodaLista">
    <w:name w:val="List Paragraph"/>
    <w:basedOn w:val="Normal"/>
    <w:uiPriority w:val="34"/>
    <w:qFormat/>
    <w:rsid w:val="00FB0D24"/>
    <w:pPr>
      <w:ind w:left="720"/>
    </w:pPr>
    <w:rPr>
      <w:rFonts w:ascii="Calibri" w:eastAsiaTheme="minorHAnsi" w:hAnsi="Calibri" w:cs="Times New Roman"/>
      <w:sz w:val="22"/>
      <w:szCs w:val="22"/>
      <w:lang w:eastAsia="pt-BR"/>
    </w:rPr>
  </w:style>
  <w:style w:type="table" w:styleId="Tabelacomgrade">
    <w:name w:val="Table Grid"/>
    <w:basedOn w:val="Tabelanormal"/>
    <w:rsid w:val="00FB0D24"/>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10649">
      <w:bodyDiv w:val="1"/>
      <w:marLeft w:val="0"/>
      <w:marRight w:val="0"/>
      <w:marTop w:val="0"/>
      <w:marBottom w:val="0"/>
      <w:divBdr>
        <w:top w:val="none" w:sz="0" w:space="0" w:color="auto"/>
        <w:left w:val="none" w:sz="0" w:space="0" w:color="auto"/>
        <w:bottom w:val="none" w:sz="0" w:space="0" w:color="auto"/>
        <w:right w:val="none" w:sz="0" w:space="0" w:color="auto"/>
      </w:divBdr>
    </w:div>
    <w:div w:id="564923361">
      <w:bodyDiv w:val="1"/>
      <w:marLeft w:val="0"/>
      <w:marRight w:val="0"/>
      <w:marTop w:val="0"/>
      <w:marBottom w:val="0"/>
      <w:divBdr>
        <w:top w:val="none" w:sz="0" w:space="0" w:color="auto"/>
        <w:left w:val="none" w:sz="0" w:space="0" w:color="auto"/>
        <w:bottom w:val="none" w:sz="0" w:space="0" w:color="auto"/>
        <w:right w:val="none" w:sz="0" w:space="0" w:color="auto"/>
      </w:divBdr>
    </w:div>
    <w:div w:id="787359244">
      <w:bodyDiv w:val="1"/>
      <w:marLeft w:val="0"/>
      <w:marRight w:val="0"/>
      <w:marTop w:val="0"/>
      <w:marBottom w:val="0"/>
      <w:divBdr>
        <w:top w:val="none" w:sz="0" w:space="0" w:color="auto"/>
        <w:left w:val="none" w:sz="0" w:space="0" w:color="auto"/>
        <w:bottom w:val="none" w:sz="0" w:space="0" w:color="auto"/>
        <w:right w:val="none" w:sz="0" w:space="0" w:color="auto"/>
      </w:divBdr>
    </w:div>
    <w:div w:id="1676959659">
      <w:bodyDiv w:val="1"/>
      <w:marLeft w:val="0"/>
      <w:marRight w:val="0"/>
      <w:marTop w:val="0"/>
      <w:marBottom w:val="0"/>
      <w:divBdr>
        <w:top w:val="none" w:sz="0" w:space="0" w:color="auto"/>
        <w:left w:val="none" w:sz="0" w:space="0" w:color="auto"/>
        <w:bottom w:val="none" w:sz="0" w:space="0" w:color="auto"/>
        <w:right w:val="none" w:sz="0" w:space="0" w:color="auto"/>
      </w:divBdr>
    </w:div>
    <w:div w:id="1916547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ACEC093A73004CBA38EFA45E4B4B3E" ma:contentTypeVersion="10" ma:contentTypeDescription="Crie um novo documento." ma:contentTypeScope="" ma:versionID="9c608e14fe7ffff2712cfe2e995579b9">
  <xsd:schema xmlns:xsd="http://www.w3.org/2001/XMLSchema" xmlns:xs="http://www.w3.org/2001/XMLSchema" xmlns:p="http://schemas.microsoft.com/office/2006/metadata/properties" xmlns:ns2="f45c5dbd-a2e9-4cc3-9d63-ae59535eb236" xmlns:ns3="9ae98382-67f3-4d96-a545-08d75375b8b6" targetNamespace="http://schemas.microsoft.com/office/2006/metadata/properties" ma:root="true" ma:fieldsID="9b1373017df0226fc919280101242088" ns2:_="" ns3:_="">
    <xsd:import namespace="f45c5dbd-a2e9-4cc3-9d63-ae59535eb236"/>
    <xsd:import namespace="9ae98382-67f3-4d96-a545-08d75375b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c5dbd-a2e9-4cc3-9d63-ae59535eb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98382-67f3-4d96-a545-08d75375b8b6"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C605-2D9B-44AE-92DD-7812C1C51A80}"/>
</file>

<file path=customXml/itemProps2.xml><?xml version="1.0" encoding="utf-8"?>
<ds:datastoreItem xmlns:ds="http://schemas.openxmlformats.org/officeDocument/2006/customXml" ds:itemID="{9B498BA3-33B3-4BE4-A81A-66AA0FDEB6FA}">
  <ds:schemaRefs>
    <ds:schemaRef ds:uri="http://schemas.microsoft.com/sharepoint/v3/contenttype/forms"/>
  </ds:schemaRefs>
</ds:datastoreItem>
</file>

<file path=customXml/itemProps3.xml><?xml version="1.0" encoding="utf-8"?>
<ds:datastoreItem xmlns:ds="http://schemas.openxmlformats.org/officeDocument/2006/customXml" ds:itemID="{7B50B319-7323-4440-A80B-7605C53E032B}">
  <ds:schemaRefs>
    <ds:schemaRef ds:uri="http://schemas.microsoft.com/office/2006/metadata/properties"/>
    <ds:schemaRef ds:uri="http://schemas.microsoft.com/office/infopath/2007/PartnerControls"/>
    <ds:schemaRef ds:uri="http://schemas.microsoft.com/sharepoint/v3"/>
    <ds:schemaRef ds:uri="9dee0a48-fc0c-418b-95fb-08cb8e59e960"/>
  </ds:schemaRefs>
</ds:datastoreItem>
</file>

<file path=customXml/itemProps4.xml><?xml version="1.0" encoding="utf-8"?>
<ds:datastoreItem xmlns:ds="http://schemas.openxmlformats.org/officeDocument/2006/customXml" ds:itemID="{5C208674-5BC9-43A1-91A3-FA34FE3C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2319</Words>
  <Characters>12523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Schiavinato</dc:creator>
  <cp:keywords/>
  <dc:description/>
  <cp:lastModifiedBy>Luis Schiavinato</cp:lastModifiedBy>
  <cp:revision>3</cp:revision>
  <cp:lastPrinted>2018-10-25T17:36:00Z</cp:lastPrinted>
  <dcterms:created xsi:type="dcterms:W3CDTF">2021-03-26T17:49:00Z</dcterms:created>
  <dcterms:modified xsi:type="dcterms:W3CDTF">2021-03-26T17:50:00Z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0x0101009FACEC093A73004CBA38EFA45E4B4B3E</vt:lpwstr>
  </property>
</Properties>
</file>