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25EE3495"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F83643">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C41816">
      <w:pPr>
        <w:jc w:val="both"/>
        <w:rPr>
          <w:rFonts w:ascii="Open Sans" w:hAnsi="Open Sans" w:cs="Open Sans"/>
          <w:b/>
          <w:caps/>
          <w:sz w:val="20"/>
          <w:szCs w:val="20"/>
        </w:rPr>
      </w:pPr>
    </w:p>
    <w:p w14:paraId="42118ACF" w14:textId="212403AB" w:rsidR="00FB0D24" w:rsidRPr="00877F1F" w:rsidRDefault="00FB0D24" w:rsidP="00C41816">
      <w:pPr>
        <w:jc w:val="both"/>
        <w:rPr>
          <w:rFonts w:ascii="Open Sans" w:hAnsi="Open Sans" w:cs="Open Sans"/>
          <w:b/>
          <w:bCs/>
          <w:color w:val="000000" w:themeColor="text1"/>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GERAL DE TITULARES DOS CERTIFICADOS DE RECEBÍVEIS IMOBILIÁRIOS DAS </w:t>
      </w:r>
      <w:bookmarkStart w:id="0" w:name="_Hlk40114722"/>
      <w:r w:rsidR="00CB14EF" w:rsidRPr="00CB14EF">
        <w:rPr>
          <w:rFonts w:ascii="Open Sans" w:hAnsi="Open Sans" w:cs="Open Sans"/>
          <w:b/>
          <w:bCs/>
          <w:color w:val="000000" w:themeColor="text1"/>
          <w:sz w:val="20"/>
          <w:szCs w:val="20"/>
        </w:rPr>
        <w:t xml:space="preserve">112ª, 113ª, 114ª E 115ª </w:t>
      </w:r>
      <w:r w:rsidR="00BC2FE8" w:rsidRPr="007A3B89">
        <w:rPr>
          <w:rFonts w:ascii="Open Sans" w:hAnsi="Open Sans" w:cs="Open Sans"/>
          <w:b/>
          <w:bCs/>
          <w:color w:val="000000" w:themeColor="text1"/>
          <w:sz w:val="20"/>
          <w:szCs w:val="20"/>
        </w:rPr>
        <w:t>SÉRIE</w:t>
      </w:r>
      <w:bookmarkEnd w:id="0"/>
      <w:r w:rsidR="00BC2FE8" w:rsidRPr="007A3B89">
        <w:rPr>
          <w:rFonts w:ascii="Open Sans" w:hAnsi="Open Sans" w:cs="Open Sans"/>
          <w:b/>
          <w:bCs/>
          <w:color w:val="000000" w:themeColor="text1"/>
          <w:sz w:val="20"/>
          <w:szCs w:val="20"/>
        </w:rPr>
        <w:t>S DA 1ª EMISSÃO DA FORTE SECURITIZADORA S.A.</w:t>
      </w:r>
      <w:r w:rsidR="005A08C8" w:rsidRPr="007A3B89">
        <w:rPr>
          <w:rFonts w:ascii="Open Sans" w:hAnsi="Open Sans" w:cs="Open Sans"/>
          <w:b/>
          <w:sz w:val="20"/>
          <w:szCs w:val="20"/>
        </w:rPr>
        <w:t>,</w:t>
      </w:r>
      <w:r w:rsidRPr="007A3B89">
        <w:rPr>
          <w:rFonts w:ascii="Open Sans" w:hAnsi="Open Sans" w:cs="Open Sans"/>
          <w:b/>
          <w:caps/>
          <w:sz w:val="20"/>
          <w:szCs w:val="20"/>
        </w:rPr>
        <w:t xml:space="preserve"> a ser realizada em </w:t>
      </w:r>
      <w:r w:rsidR="00BC2FE8" w:rsidRPr="007A3B89">
        <w:rPr>
          <w:rFonts w:ascii="Open Sans" w:hAnsi="Open Sans" w:cs="Open Sans"/>
          <w:b/>
          <w:caps/>
          <w:sz w:val="20"/>
          <w:szCs w:val="20"/>
        </w:rPr>
        <w:t>PRIMEIRA</w:t>
      </w:r>
      <w:r w:rsidRPr="007A3B89">
        <w:rPr>
          <w:rFonts w:ascii="Open Sans" w:hAnsi="Open Sans" w:cs="Open Sans"/>
          <w:b/>
          <w:caps/>
          <w:sz w:val="20"/>
          <w:szCs w:val="20"/>
        </w:rPr>
        <w:t xml:space="preserve"> convocação</w:t>
      </w:r>
      <w:r w:rsidR="00B0580D" w:rsidRPr="007A3B89">
        <w:rPr>
          <w:rFonts w:ascii="Open Sans" w:hAnsi="Open Sans" w:cs="Open Sans"/>
          <w:b/>
          <w:caps/>
          <w:sz w:val="20"/>
          <w:szCs w:val="20"/>
        </w:rPr>
        <w:t xml:space="preserve"> </w:t>
      </w:r>
      <w:r w:rsidR="00B0580D" w:rsidRPr="00DC654E">
        <w:rPr>
          <w:rFonts w:ascii="Open Sans" w:hAnsi="Open Sans" w:cs="Open Sans"/>
          <w:b/>
          <w:caps/>
          <w:sz w:val="20"/>
          <w:szCs w:val="20"/>
        </w:rPr>
        <w:t xml:space="preserve">em </w:t>
      </w:r>
      <w:r w:rsidR="00DC654E" w:rsidRPr="00130A34">
        <w:rPr>
          <w:rFonts w:ascii="Open Sans" w:hAnsi="Open Sans" w:cs="Open Sans"/>
          <w:b/>
          <w:sz w:val="20"/>
          <w:szCs w:val="20"/>
        </w:rPr>
        <w:t>21</w:t>
      </w:r>
      <w:r w:rsidR="00F41120" w:rsidRPr="00DC654E">
        <w:rPr>
          <w:rFonts w:ascii="Open Sans" w:hAnsi="Open Sans" w:cs="Open Sans"/>
          <w:b/>
          <w:caps/>
          <w:sz w:val="20"/>
          <w:szCs w:val="20"/>
        </w:rPr>
        <w:t xml:space="preserve"> de </w:t>
      </w:r>
      <w:r w:rsidR="00DC654E" w:rsidRPr="00130A34">
        <w:rPr>
          <w:rFonts w:ascii="Open Sans" w:hAnsi="Open Sans" w:cs="Open Sans"/>
          <w:b/>
          <w:sz w:val="20"/>
          <w:szCs w:val="20"/>
        </w:rPr>
        <w:t>JULHO</w:t>
      </w:r>
      <w:r w:rsidR="0091013D" w:rsidRPr="00DC654E">
        <w:rPr>
          <w:rFonts w:ascii="Open Sans" w:hAnsi="Open Sans" w:cs="Open Sans"/>
          <w:b/>
          <w:caps/>
          <w:sz w:val="20"/>
          <w:szCs w:val="20"/>
        </w:rPr>
        <w:t xml:space="preserve"> </w:t>
      </w:r>
      <w:r w:rsidR="00B0580D" w:rsidRPr="00DC654E">
        <w:rPr>
          <w:rFonts w:ascii="Open Sans" w:hAnsi="Open Sans" w:cs="Open Sans"/>
          <w:b/>
          <w:caps/>
          <w:sz w:val="20"/>
          <w:szCs w:val="20"/>
        </w:rPr>
        <w:t>de 202</w:t>
      </w:r>
      <w:r w:rsidR="00D50CCC" w:rsidRPr="00DC654E">
        <w:rPr>
          <w:rFonts w:ascii="Open Sans" w:hAnsi="Open Sans" w:cs="Open Sans"/>
          <w:b/>
          <w:caps/>
          <w:sz w:val="20"/>
          <w:szCs w:val="20"/>
        </w:rPr>
        <w:t>2</w:t>
      </w:r>
      <w:r w:rsidRPr="00A33A4A">
        <w:rPr>
          <w:rFonts w:ascii="Open Sans" w:hAnsi="Open Sans" w:cs="Open Sans"/>
          <w:b/>
          <w:caps/>
          <w:sz w:val="20"/>
          <w:szCs w:val="20"/>
        </w:rPr>
        <w:t xml:space="preserve"> e/ou </w:t>
      </w:r>
      <w:r w:rsidR="00B0580D" w:rsidRPr="00A33A4A">
        <w:rPr>
          <w:rFonts w:ascii="Open Sans" w:hAnsi="Open Sans" w:cs="Open Sans"/>
          <w:b/>
          <w:caps/>
          <w:sz w:val="20"/>
          <w:szCs w:val="20"/>
        </w:rPr>
        <w:t xml:space="preserve">em </w:t>
      </w:r>
      <w:r w:rsidRPr="00A33A4A">
        <w:rPr>
          <w:rFonts w:ascii="Open Sans" w:hAnsi="Open Sans" w:cs="Open Sans"/>
          <w:b/>
          <w:caps/>
          <w:sz w:val="20"/>
          <w:szCs w:val="20"/>
        </w:rPr>
        <w:t>eventuais reaberturas</w:t>
      </w:r>
      <w:r w:rsidR="00896EF0">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3E63F80B"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F83643">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Pr="007A3B89" w:rsidRDefault="00FB0D24" w:rsidP="00351F1F">
      <w:pPr>
        <w:pStyle w:val="Estilo"/>
        <w:jc w:val="both"/>
        <w:rPr>
          <w:rFonts w:ascii="Open Sans" w:hAnsi="Open Sans" w:cs="Open Sans"/>
          <w:sz w:val="20"/>
          <w:szCs w:val="20"/>
          <w:shd w:val="clear" w:color="auto" w:fill="FFFFFF"/>
        </w:rPr>
      </w:pPr>
    </w:p>
    <w:p w14:paraId="36D81EED" w14:textId="7DAD6858" w:rsidR="00097D56" w:rsidRPr="00130A34" w:rsidRDefault="00F52B1A" w:rsidP="00130A34">
      <w:pPr>
        <w:spacing w:line="276" w:lineRule="auto"/>
        <w:contextualSpacing/>
        <w:jc w:val="both"/>
        <w:rPr>
          <w:rFonts w:ascii="Open Sans" w:hAnsi="Open Sans" w:cs="Open Sans"/>
          <w:color w:val="000000" w:themeColor="text1"/>
          <w:sz w:val="20"/>
          <w:szCs w:val="20"/>
        </w:rPr>
      </w:pPr>
      <w:r>
        <w:rPr>
          <w:rFonts w:ascii="Open Sans" w:hAnsi="Open Sans" w:cs="Open Sans"/>
          <w:b/>
          <w:bCs/>
          <w:color w:val="000000" w:themeColor="text1"/>
          <w:sz w:val="20"/>
          <w:szCs w:val="20"/>
        </w:rPr>
        <w:t>(i)</w:t>
      </w:r>
      <w:r>
        <w:rPr>
          <w:rFonts w:ascii="Open Sans" w:hAnsi="Open Sans" w:cs="Open Sans"/>
          <w:b/>
          <w:bCs/>
          <w:color w:val="000000" w:themeColor="text1"/>
          <w:sz w:val="20"/>
          <w:szCs w:val="20"/>
        </w:rPr>
        <w:tab/>
      </w:r>
      <w:r w:rsidR="0035004C" w:rsidRPr="00130A34">
        <w:rPr>
          <w:rFonts w:ascii="Open Sans" w:hAnsi="Open Sans" w:cs="Open Sans"/>
          <w:color w:val="000000" w:themeColor="text1"/>
          <w:sz w:val="20"/>
          <w:szCs w:val="20"/>
        </w:rPr>
        <w:t xml:space="preserve">Recompra Compulsória (conforme definido no Termo de Securitização) nos termos da Cláusula 7.4 do Contrato de Cessão (conforme definido no Termo de Securitização), em virtude da ocorrência das Hipóteses de Recompra Total dos Créditos Imobiliários (conforme definido no Termo de Securitização) previstas nos itens “b”, “i” e “l” da Cláusula 7.3 do Contrato de Cessão, ocasionada pelo: </w:t>
      </w:r>
      <w:r w:rsidR="00097D56" w:rsidRPr="00130A34">
        <w:rPr>
          <w:rFonts w:ascii="Open Sans" w:hAnsi="Open Sans" w:cs="Open Sans"/>
          <w:b/>
          <w:bCs/>
          <w:color w:val="000000" w:themeColor="text1"/>
          <w:sz w:val="20"/>
          <w:szCs w:val="20"/>
        </w:rPr>
        <w:t xml:space="preserve">(a) </w:t>
      </w:r>
      <w:r w:rsidR="00097D56" w:rsidRPr="00130A34">
        <w:rPr>
          <w:rFonts w:ascii="Open Sans" w:hAnsi="Open Sans" w:cs="Open Sans"/>
          <w:color w:val="000000" w:themeColor="text1"/>
          <w:sz w:val="20"/>
          <w:szCs w:val="20"/>
        </w:rPr>
        <w:t xml:space="preserve">desenquadramento das Razões de Garantia (conforme definido no Termo de Securitização); </w:t>
      </w:r>
      <w:r w:rsidR="00097D56" w:rsidRPr="00130A34">
        <w:rPr>
          <w:rFonts w:ascii="Open Sans" w:hAnsi="Open Sans" w:cs="Open Sans"/>
          <w:b/>
          <w:bCs/>
          <w:color w:val="000000" w:themeColor="text1"/>
          <w:sz w:val="20"/>
          <w:szCs w:val="20"/>
        </w:rPr>
        <w:t>(b)</w:t>
      </w:r>
      <w:r w:rsidR="00097D56" w:rsidRPr="00130A34">
        <w:rPr>
          <w:rFonts w:ascii="Open Sans" w:hAnsi="Open Sans" w:cs="Open Sans"/>
          <w:color w:val="000000" w:themeColor="text1"/>
          <w:sz w:val="20"/>
          <w:szCs w:val="20"/>
        </w:rPr>
        <w:t xml:space="preserve"> descumprimento da obrigação de recomposição das Razões de Garantia prevista na Cláusula 6.2.6 do Contrato de Cessão; e </w:t>
      </w:r>
      <w:r w:rsidR="00097D56" w:rsidRPr="00130A34">
        <w:rPr>
          <w:rFonts w:ascii="Open Sans" w:hAnsi="Open Sans" w:cs="Open Sans"/>
          <w:b/>
          <w:bCs/>
          <w:color w:val="000000" w:themeColor="text1"/>
          <w:sz w:val="20"/>
          <w:szCs w:val="20"/>
        </w:rPr>
        <w:t>(c)</w:t>
      </w:r>
      <w:r w:rsidR="00097D56" w:rsidRPr="00130A34">
        <w:rPr>
          <w:rFonts w:ascii="Open Sans" w:hAnsi="Open Sans" w:cs="Open Sans"/>
          <w:color w:val="000000" w:themeColor="text1"/>
          <w:sz w:val="20"/>
          <w:szCs w:val="20"/>
        </w:rPr>
        <w:t xml:space="preserve"> descumprimento da obrigação de recomposição do Fundo de Reserva prevista na Cláusula 6.8.5 do Contrato de Cessão;</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236256B8" w14:textId="77777777" w:rsidR="00CF78BE" w:rsidRPr="007A3B89" w:rsidRDefault="00CF78BE" w:rsidP="00CF78BE">
      <w:pPr>
        <w:pStyle w:val="Estilo"/>
        <w:pBdr>
          <w:bottom w:val="single" w:sz="4" w:space="1" w:color="auto"/>
        </w:pBdr>
        <w:jc w:val="both"/>
        <w:rPr>
          <w:rFonts w:ascii="Open Sans" w:hAnsi="Open Sans" w:cs="Open Sans"/>
          <w:sz w:val="20"/>
          <w:szCs w:val="20"/>
          <w:shd w:val="clear" w:color="auto" w:fill="FFFFFF"/>
        </w:rPr>
      </w:pPr>
    </w:p>
    <w:p w14:paraId="7B3D2002" w14:textId="4508BEAE" w:rsidR="00CF78BE" w:rsidRDefault="00CF78BE" w:rsidP="00CF78BE">
      <w:pPr>
        <w:widowControl w:val="0"/>
        <w:autoSpaceDE w:val="0"/>
        <w:autoSpaceDN w:val="0"/>
        <w:adjustRightInd w:val="0"/>
        <w:jc w:val="both"/>
        <w:rPr>
          <w:rFonts w:ascii="Open Sans" w:hAnsi="Open Sans" w:cs="Open Sans"/>
          <w:b/>
          <w:bCs/>
          <w:color w:val="000000" w:themeColor="text1"/>
          <w:sz w:val="20"/>
          <w:szCs w:val="20"/>
        </w:rPr>
      </w:pPr>
    </w:p>
    <w:p w14:paraId="59738E07" w14:textId="05B6626A" w:rsidR="00444CCC" w:rsidRPr="00130A34" w:rsidRDefault="00F52B1A" w:rsidP="00130A34">
      <w:pPr>
        <w:spacing w:line="276" w:lineRule="auto"/>
        <w:contextualSpacing/>
        <w:jc w:val="both"/>
        <w:rPr>
          <w:rFonts w:ascii="Open Sans" w:hAnsi="Open Sans" w:cs="Open Sans"/>
          <w:color w:val="000000" w:themeColor="text1"/>
          <w:sz w:val="20"/>
          <w:szCs w:val="20"/>
        </w:rPr>
      </w:pPr>
      <w:r>
        <w:rPr>
          <w:rFonts w:ascii="Open Sans" w:eastAsia="Calibri" w:hAnsi="Open Sans" w:cs="Open Sans"/>
          <w:b/>
          <w:bCs/>
          <w:sz w:val="20"/>
          <w:szCs w:val="20"/>
        </w:rPr>
        <w:t>(ii)</w:t>
      </w:r>
      <w:r>
        <w:rPr>
          <w:rFonts w:ascii="Open Sans" w:eastAsia="Calibri" w:hAnsi="Open Sans" w:cs="Open Sans"/>
          <w:b/>
          <w:bCs/>
          <w:sz w:val="20"/>
          <w:szCs w:val="20"/>
        </w:rPr>
        <w:tab/>
      </w:r>
      <w:r>
        <w:rPr>
          <w:rFonts w:ascii="Open Sans" w:hAnsi="Open Sans" w:cs="Open Sans"/>
          <w:color w:val="000000" w:themeColor="text1"/>
          <w:sz w:val="20"/>
          <w:szCs w:val="20"/>
        </w:rPr>
        <w:t>C</w:t>
      </w:r>
      <w:r w:rsidR="00444CCC" w:rsidRPr="00130A34">
        <w:rPr>
          <w:rFonts w:ascii="Open Sans" w:hAnsi="Open Sans" w:cs="Open Sans"/>
          <w:color w:val="000000" w:themeColor="text1"/>
          <w:sz w:val="20"/>
          <w:szCs w:val="20"/>
        </w:rPr>
        <w:t>ientificação acerca dos processos judiciais abaixo indicados, enquadrados na Hipótese de Recompra Total dos Créditos Imobiliários prevista no item “i” da Cláusula 7.3 do Contrato de Cessão, e a consequente aprovação, ou não, da Recompra Compulsória</w:t>
      </w:r>
      <w:r w:rsidR="00236861">
        <w:rPr>
          <w:rFonts w:ascii="Open Sans" w:hAnsi="Open Sans" w:cs="Open Sans"/>
          <w:color w:val="000000" w:themeColor="text1"/>
          <w:sz w:val="20"/>
          <w:szCs w:val="20"/>
        </w:rPr>
        <w:t>;</w:t>
      </w:r>
    </w:p>
    <w:p w14:paraId="411C7F4E" w14:textId="77777777" w:rsidR="00444CCC" w:rsidRPr="00AA5DCD" w:rsidRDefault="00444CCC" w:rsidP="00AA5DCD">
      <w:pPr>
        <w:spacing w:line="276" w:lineRule="auto"/>
        <w:contextualSpacing/>
        <w:jc w:val="both"/>
        <w:rPr>
          <w:rFonts w:ascii="Open Sans" w:hAnsi="Open Sans" w:cs="Open Sans"/>
          <w:color w:val="000000" w:themeColor="text1"/>
          <w:sz w:val="20"/>
          <w:szCs w:val="20"/>
        </w:rPr>
      </w:pPr>
    </w:p>
    <w:tbl>
      <w:tblPr>
        <w:tblStyle w:val="Tabelacomgrade"/>
        <w:tblpPr w:leftFromText="141" w:rightFromText="141" w:vertAnchor="page" w:horzAnchor="margin" w:tblpXSpec="center" w:tblpY="1551"/>
        <w:tblW w:w="8660" w:type="dxa"/>
        <w:tblLook w:val="04A0" w:firstRow="1" w:lastRow="0" w:firstColumn="1" w:lastColumn="0" w:noHBand="0" w:noVBand="1"/>
      </w:tblPr>
      <w:tblGrid>
        <w:gridCol w:w="1892"/>
        <w:gridCol w:w="2639"/>
        <w:gridCol w:w="993"/>
        <w:gridCol w:w="2100"/>
        <w:gridCol w:w="22"/>
        <w:gridCol w:w="992"/>
        <w:gridCol w:w="22"/>
      </w:tblGrid>
      <w:tr w:rsidR="00ED0212" w:rsidRPr="00566713" w14:paraId="49DFD086" w14:textId="77777777" w:rsidTr="00AA5DCD">
        <w:trPr>
          <w:gridAfter w:val="1"/>
          <w:wAfter w:w="22" w:type="dxa"/>
          <w:tblHeader/>
        </w:trPr>
        <w:tc>
          <w:tcPr>
            <w:tcW w:w="1892" w:type="dxa"/>
            <w:shd w:val="clear" w:color="auto" w:fill="BFBFBF" w:themeFill="background1" w:themeFillShade="BF"/>
            <w:vAlign w:val="center"/>
          </w:tcPr>
          <w:p w14:paraId="061A0C37" w14:textId="77777777" w:rsidR="00ED0212" w:rsidRPr="00566713" w:rsidRDefault="00ED0212" w:rsidP="00ED0212">
            <w:pPr>
              <w:pStyle w:val="PargrafodaLista"/>
              <w:spacing w:line="276" w:lineRule="auto"/>
              <w:ind w:left="0"/>
              <w:contextualSpacing/>
              <w:jc w:val="center"/>
              <w:rPr>
                <w:rFonts w:ascii="Open Sans" w:hAnsi="Open Sans" w:cs="Open Sans"/>
                <w:b/>
                <w:bCs/>
                <w:smallCaps/>
                <w:color w:val="000000" w:themeColor="text1"/>
                <w:sz w:val="12"/>
                <w:szCs w:val="12"/>
              </w:rPr>
            </w:pPr>
            <w:r w:rsidRPr="00566713">
              <w:rPr>
                <w:rFonts w:ascii="Open Sans" w:hAnsi="Open Sans" w:cs="Open Sans"/>
                <w:b/>
                <w:bCs/>
                <w:smallCaps/>
                <w:color w:val="000000" w:themeColor="text1"/>
                <w:sz w:val="12"/>
                <w:szCs w:val="12"/>
              </w:rPr>
              <w:lastRenderedPageBreak/>
              <w:t>Número</w:t>
            </w:r>
            <w:r>
              <w:rPr>
                <w:rFonts w:ascii="Open Sans" w:hAnsi="Open Sans" w:cs="Open Sans"/>
                <w:b/>
                <w:bCs/>
                <w:smallCaps/>
                <w:color w:val="000000" w:themeColor="text1"/>
                <w:sz w:val="12"/>
                <w:szCs w:val="12"/>
              </w:rPr>
              <w:t xml:space="preserve"> do Processo</w:t>
            </w:r>
          </w:p>
        </w:tc>
        <w:tc>
          <w:tcPr>
            <w:tcW w:w="2639" w:type="dxa"/>
            <w:shd w:val="clear" w:color="auto" w:fill="BFBFBF" w:themeFill="background1" w:themeFillShade="BF"/>
            <w:vAlign w:val="center"/>
          </w:tcPr>
          <w:p w14:paraId="30534EF5" w14:textId="77777777" w:rsidR="00ED0212" w:rsidRPr="00566713" w:rsidRDefault="00ED0212" w:rsidP="00ED0212">
            <w:pPr>
              <w:pStyle w:val="PargrafodaLista"/>
              <w:spacing w:line="276" w:lineRule="auto"/>
              <w:ind w:left="0"/>
              <w:contextualSpacing/>
              <w:jc w:val="center"/>
              <w:rPr>
                <w:rFonts w:ascii="Open Sans" w:hAnsi="Open Sans" w:cs="Open Sans"/>
                <w:b/>
                <w:bCs/>
                <w:smallCaps/>
                <w:color w:val="000000" w:themeColor="text1"/>
                <w:sz w:val="12"/>
                <w:szCs w:val="12"/>
              </w:rPr>
            </w:pPr>
            <w:r w:rsidRPr="00566713">
              <w:rPr>
                <w:rFonts w:ascii="Open Sans" w:hAnsi="Open Sans" w:cs="Open Sans"/>
                <w:b/>
                <w:bCs/>
                <w:smallCaps/>
                <w:color w:val="000000" w:themeColor="text1"/>
                <w:sz w:val="12"/>
                <w:szCs w:val="12"/>
              </w:rPr>
              <w:t>Juízo</w:t>
            </w:r>
          </w:p>
        </w:tc>
        <w:tc>
          <w:tcPr>
            <w:tcW w:w="993" w:type="dxa"/>
            <w:shd w:val="clear" w:color="auto" w:fill="BFBFBF" w:themeFill="background1" w:themeFillShade="BF"/>
            <w:vAlign w:val="center"/>
          </w:tcPr>
          <w:p w14:paraId="0708D098" w14:textId="77777777" w:rsidR="00ED0212" w:rsidRPr="00CC1C81" w:rsidRDefault="00ED0212" w:rsidP="00ED0212">
            <w:pPr>
              <w:pStyle w:val="PargrafodaLista"/>
              <w:spacing w:line="276" w:lineRule="auto"/>
              <w:ind w:left="0"/>
              <w:contextualSpacing/>
              <w:jc w:val="center"/>
              <w:rPr>
                <w:rFonts w:ascii="Open Sans" w:hAnsi="Open Sans" w:cs="Open Sans"/>
                <w:b/>
                <w:bCs/>
                <w:smallCaps/>
                <w:color w:val="000000" w:themeColor="text1"/>
                <w:sz w:val="12"/>
                <w:szCs w:val="12"/>
              </w:rPr>
            </w:pPr>
            <w:r>
              <w:rPr>
                <w:rFonts w:ascii="Open Sans" w:hAnsi="Open Sans" w:cs="Open Sans"/>
                <w:b/>
                <w:bCs/>
                <w:smallCaps/>
                <w:color w:val="000000" w:themeColor="text1"/>
                <w:sz w:val="12"/>
                <w:szCs w:val="12"/>
              </w:rPr>
              <w:t>Polo Passivo</w:t>
            </w:r>
          </w:p>
        </w:tc>
        <w:tc>
          <w:tcPr>
            <w:tcW w:w="2100" w:type="dxa"/>
            <w:shd w:val="clear" w:color="auto" w:fill="BFBFBF" w:themeFill="background1" w:themeFillShade="BF"/>
            <w:vAlign w:val="center"/>
          </w:tcPr>
          <w:p w14:paraId="7837048C" w14:textId="77777777" w:rsidR="00ED0212" w:rsidRPr="00566713" w:rsidRDefault="00ED0212" w:rsidP="00ED0212">
            <w:pPr>
              <w:pStyle w:val="PargrafodaLista"/>
              <w:spacing w:line="276" w:lineRule="auto"/>
              <w:ind w:left="0"/>
              <w:contextualSpacing/>
              <w:jc w:val="center"/>
              <w:rPr>
                <w:rFonts w:ascii="Open Sans" w:hAnsi="Open Sans" w:cs="Open Sans"/>
                <w:b/>
                <w:bCs/>
                <w:smallCaps/>
                <w:color w:val="000000" w:themeColor="text1"/>
                <w:sz w:val="12"/>
                <w:szCs w:val="12"/>
              </w:rPr>
            </w:pPr>
            <w:r w:rsidRPr="00566713">
              <w:rPr>
                <w:rFonts w:ascii="Open Sans" w:hAnsi="Open Sans" w:cs="Open Sans"/>
                <w:b/>
                <w:bCs/>
                <w:smallCaps/>
                <w:color w:val="000000" w:themeColor="text1"/>
                <w:sz w:val="12"/>
                <w:szCs w:val="12"/>
              </w:rPr>
              <w:t>Tipo</w:t>
            </w:r>
            <w:r>
              <w:rPr>
                <w:rFonts w:ascii="Open Sans" w:hAnsi="Open Sans" w:cs="Open Sans"/>
                <w:b/>
                <w:bCs/>
                <w:smallCaps/>
                <w:color w:val="000000" w:themeColor="text1"/>
                <w:sz w:val="12"/>
                <w:szCs w:val="12"/>
              </w:rPr>
              <w:t xml:space="preserve"> de Processo / Ação</w:t>
            </w:r>
          </w:p>
        </w:tc>
        <w:tc>
          <w:tcPr>
            <w:tcW w:w="1014" w:type="dxa"/>
            <w:gridSpan w:val="2"/>
            <w:shd w:val="clear" w:color="auto" w:fill="BFBFBF" w:themeFill="background1" w:themeFillShade="BF"/>
            <w:vAlign w:val="center"/>
          </w:tcPr>
          <w:p w14:paraId="71B66AF0" w14:textId="77777777" w:rsidR="00ED0212" w:rsidRPr="00566713" w:rsidRDefault="00ED0212" w:rsidP="00ED0212">
            <w:pPr>
              <w:pStyle w:val="PargrafodaLista"/>
              <w:spacing w:line="276" w:lineRule="auto"/>
              <w:ind w:left="0"/>
              <w:contextualSpacing/>
              <w:jc w:val="center"/>
              <w:rPr>
                <w:rFonts w:ascii="Open Sans" w:hAnsi="Open Sans" w:cs="Open Sans"/>
                <w:b/>
                <w:bCs/>
                <w:smallCaps/>
                <w:color w:val="000000" w:themeColor="text1"/>
                <w:sz w:val="12"/>
                <w:szCs w:val="12"/>
              </w:rPr>
            </w:pPr>
            <w:r w:rsidRPr="00566713">
              <w:rPr>
                <w:rFonts w:ascii="Open Sans" w:hAnsi="Open Sans" w:cs="Open Sans"/>
                <w:b/>
                <w:bCs/>
                <w:smallCaps/>
                <w:color w:val="000000" w:themeColor="text1"/>
                <w:sz w:val="12"/>
                <w:szCs w:val="12"/>
              </w:rPr>
              <w:t>Valor da Causa</w:t>
            </w:r>
          </w:p>
          <w:p w14:paraId="7E317198" w14:textId="77777777" w:rsidR="00ED0212" w:rsidRPr="00566713" w:rsidRDefault="00ED0212" w:rsidP="00ED0212">
            <w:pPr>
              <w:pStyle w:val="PargrafodaLista"/>
              <w:spacing w:line="276" w:lineRule="auto"/>
              <w:ind w:left="0"/>
              <w:contextualSpacing/>
              <w:jc w:val="center"/>
              <w:rPr>
                <w:rFonts w:ascii="Open Sans" w:hAnsi="Open Sans" w:cs="Open Sans"/>
                <w:b/>
                <w:bCs/>
                <w:smallCaps/>
                <w:color w:val="000000" w:themeColor="text1"/>
                <w:sz w:val="12"/>
                <w:szCs w:val="12"/>
              </w:rPr>
            </w:pPr>
            <w:r w:rsidRPr="00566713">
              <w:rPr>
                <w:rFonts w:ascii="Open Sans" w:hAnsi="Open Sans" w:cs="Open Sans"/>
                <w:b/>
                <w:bCs/>
                <w:smallCaps/>
                <w:color w:val="000000" w:themeColor="text1"/>
                <w:sz w:val="12"/>
                <w:szCs w:val="12"/>
              </w:rPr>
              <w:t>(em R$)</w:t>
            </w:r>
          </w:p>
        </w:tc>
      </w:tr>
      <w:tr w:rsidR="00ED0212" w:rsidRPr="00566713" w14:paraId="39BF8E6B" w14:textId="77777777" w:rsidTr="00AA5DCD">
        <w:trPr>
          <w:gridAfter w:val="1"/>
          <w:wAfter w:w="22" w:type="dxa"/>
        </w:trPr>
        <w:tc>
          <w:tcPr>
            <w:tcW w:w="1892" w:type="dxa"/>
            <w:vAlign w:val="center"/>
          </w:tcPr>
          <w:p w14:paraId="2A4F8BB5" w14:textId="77777777" w:rsidR="00ED0212" w:rsidRPr="00566713" w:rsidRDefault="00ED0212" w:rsidP="00ED0212">
            <w:pPr>
              <w:pStyle w:val="PargrafodaLista"/>
              <w:spacing w:line="276" w:lineRule="auto"/>
              <w:ind w:left="0"/>
              <w:contextualSpacing/>
              <w:rPr>
                <w:rFonts w:ascii="Open Sans" w:hAnsi="Open Sans" w:cs="Open Sans"/>
                <w:color w:val="000000" w:themeColor="text1"/>
                <w:sz w:val="12"/>
                <w:szCs w:val="12"/>
              </w:rPr>
            </w:pPr>
            <w:r w:rsidRPr="00566713">
              <w:rPr>
                <w:rFonts w:ascii="Open Sans" w:hAnsi="Open Sans" w:cs="Open Sans"/>
                <w:color w:val="000000" w:themeColor="text1"/>
                <w:sz w:val="12"/>
                <w:szCs w:val="12"/>
              </w:rPr>
              <w:t>0109062-62.2013.8.20.0106</w:t>
            </w:r>
          </w:p>
        </w:tc>
        <w:tc>
          <w:tcPr>
            <w:tcW w:w="2639" w:type="dxa"/>
            <w:vAlign w:val="center"/>
          </w:tcPr>
          <w:p w14:paraId="48AF6F3A" w14:textId="77777777" w:rsidR="00ED0212" w:rsidRPr="00566713" w:rsidRDefault="00ED0212" w:rsidP="00ED0212">
            <w:pPr>
              <w:pStyle w:val="PargrafodaLista"/>
              <w:spacing w:line="276" w:lineRule="auto"/>
              <w:ind w:left="0"/>
              <w:contextualSpacing/>
              <w:jc w:val="both"/>
              <w:rPr>
                <w:rFonts w:ascii="Open Sans" w:hAnsi="Open Sans" w:cs="Open Sans"/>
                <w:color w:val="000000" w:themeColor="text1"/>
                <w:sz w:val="12"/>
                <w:szCs w:val="12"/>
              </w:rPr>
            </w:pPr>
            <w:r w:rsidRPr="00566713">
              <w:rPr>
                <w:rFonts w:ascii="Open Sans" w:hAnsi="Open Sans" w:cs="Open Sans"/>
                <w:color w:val="000000" w:themeColor="text1"/>
                <w:sz w:val="12"/>
                <w:szCs w:val="12"/>
              </w:rPr>
              <w:t>25ª Vara Cível da Comarca de Natal do Estado do Rio Grande do Norte</w:t>
            </w:r>
          </w:p>
        </w:tc>
        <w:tc>
          <w:tcPr>
            <w:tcW w:w="993" w:type="dxa"/>
            <w:vAlign w:val="center"/>
          </w:tcPr>
          <w:p w14:paraId="0CA8BFE3" w14:textId="36FA0CE7" w:rsidR="00ED0212" w:rsidRPr="00CC1C81" w:rsidRDefault="00ED0212" w:rsidP="00AA5DCD">
            <w:pPr>
              <w:pStyle w:val="PargrafodaLista"/>
              <w:spacing w:line="276" w:lineRule="auto"/>
              <w:ind w:left="0"/>
              <w:contextualSpacing/>
              <w:jc w:val="both"/>
              <w:rPr>
                <w:rFonts w:ascii="Open Sans" w:hAnsi="Open Sans" w:cs="Open Sans"/>
                <w:color w:val="000000" w:themeColor="text1"/>
                <w:sz w:val="12"/>
                <w:szCs w:val="12"/>
              </w:rPr>
            </w:pPr>
            <w:r>
              <w:rPr>
                <w:rFonts w:ascii="Open Sans" w:hAnsi="Open Sans" w:cs="Open Sans"/>
                <w:color w:val="000000" w:themeColor="text1"/>
                <w:sz w:val="12"/>
                <w:szCs w:val="12"/>
              </w:rPr>
              <w:t xml:space="preserve">Sra. Taísa (Fiadora) </w:t>
            </w:r>
            <w:r w:rsidRPr="00566713">
              <w:rPr>
                <w:rFonts w:ascii="Open Sans" w:hAnsi="Open Sans" w:cs="Open Sans"/>
                <w:i/>
                <w:iCs/>
                <w:color w:val="000000" w:themeColor="text1"/>
                <w:sz w:val="12"/>
                <w:szCs w:val="12"/>
              </w:rPr>
              <w:t>et al</w:t>
            </w:r>
            <w:r>
              <w:rPr>
                <w:rFonts w:ascii="Open Sans" w:hAnsi="Open Sans" w:cs="Open Sans"/>
                <w:color w:val="000000" w:themeColor="text1"/>
                <w:sz w:val="12"/>
                <w:szCs w:val="12"/>
              </w:rPr>
              <w:t>.</w:t>
            </w:r>
          </w:p>
        </w:tc>
        <w:tc>
          <w:tcPr>
            <w:tcW w:w="2100" w:type="dxa"/>
            <w:vAlign w:val="center"/>
          </w:tcPr>
          <w:p w14:paraId="40D62D39" w14:textId="77777777" w:rsidR="00ED0212" w:rsidRPr="00566713" w:rsidRDefault="00ED0212" w:rsidP="00ED0212">
            <w:pPr>
              <w:pStyle w:val="PargrafodaLista"/>
              <w:spacing w:line="276" w:lineRule="auto"/>
              <w:ind w:left="0"/>
              <w:contextualSpacing/>
              <w:jc w:val="both"/>
              <w:rPr>
                <w:rFonts w:ascii="Open Sans" w:hAnsi="Open Sans" w:cs="Open Sans"/>
                <w:color w:val="000000" w:themeColor="text1"/>
                <w:sz w:val="12"/>
                <w:szCs w:val="12"/>
              </w:rPr>
            </w:pPr>
            <w:r w:rsidRPr="00566713">
              <w:rPr>
                <w:rFonts w:ascii="Open Sans" w:hAnsi="Open Sans" w:cs="Open Sans"/>
                <w:color w:val="000000" w:themeColor="text1"/>
                <w:sz w:val="12"/>
                <w:szCs w:val="12"/>
              </w:rPr>
              <w:t xml:space="preserve">Execução de Título </w:t>
            </w:r>
            <w:r>
              <w:rPr>
                <w:rFonts w:ascii="Open Sans" w:hAnsi="Open Sans" w:cs="Open Sans"/>
                <w:color w:val="000000" w:themeColor="text1"/>
                <w:sz w:val="12"/>
                <w:szCs w:val="12"/>
              </w:rPr>
              <w:t xml:space="preserve">Executivo </w:t>
            </w:r>
            <w:r w:rsidRPr="00566713">
              <w:rPr>
                <w:rFonts w:ascii="Open Sans" w:hAnsi="Open Sans" w:cs="Open Sans"/>
                <w:color w:val="000000" w:themeColor="text1"/>
                <w:sz w:val="12"/>
                <w:szCs w:val="12"/>
              </w:rPr>
              <w:t>Extrajudicial (CCB)</w:t>
            </w:r>
          </w:p>
        </w:tc>
        <w:tc>
          <w:tcPr>
            <w:tcW w:w="1014" w:type="dxa"/>
            <w:gridSpan w:val="2"/>
            <w:vAlign w:val="center"/>
          </w:tcPr>
          <w:p w14:paraId="7391C1AA" w14:textId="77777777" w:rsidR="00ED0212" w:rsidRPr="00566713" w:rsidRDefault="00ED0212" w:rsidP="00ED0212">
            <w:pPr>
              <w:pStyle w:val="PargrafodaLista"/>
              <w:spacing w:line="276" w:lineRule="auto"/>
              <w:ind w:left="0"/>
              <w:contextualSpacing/>
              <w:jc w:val="right"/>
              <w:rPr>
                <w:rFonts w:ascii="Open Sans" w:hAnsi="Open Sans" w:cs="Open Sans"/>
                <w:color w:val="000000" w:themeColor="text1"/>
                <w:sz w:val="12"/>
                <w:szCs w:val="12"/>
              </w:rPr>
            </w:pPr>
            <w:r w:rsidRPr="00EC774B">
              <w:rPr>
                <w:rFonts w:ascii="Open Sans" w:hAnsi="Open Sans" w:cs="Open Sans"/>
                <w:color w:val="000000" w:themeColor="text1"/>
                <w:sz w:val="12"/>
                <w:szCs w:val="12"/>
              </w:rPr>
              <w:t>818.979,53</w:t>
            </w:r>
          </w:p>
        </w:tc>
      </w:tr>
      <w:tr w:rsidR="00ED0212" w:rsidRPr="00566713" w14:paraId="576DC175" w14:textId="77777777" w:rsidTr="00AA5DCD">
        <w:trPr>
          <w:gridAfter w:val="1"/>
          <w:wAfter w:w="22" w:type="dxa"/>
        </w:trPr>
        <w:tc>
          <w:tcPr>
            <w:tcW w:w="1892" w:type="dxa"/>
            <w:vAlign w:val="center"/>
          </w:tcPr>
          <w:p w14:paraId="04C77BDC" w14:textId="77777777" w:rsidR="00ED0212" w:rsidRPr="00566713" w:rsidRDefault="00ED0212" w:rsidP="00ED0212">
            <w:pPr>
              <w:pStyle w:val="PargrafodaLista"/>
              <w:spacing w:line="276" w:lineRule="auto"/>
              <w:ind w:left="0"/>
              <w:contextualSpacing/>
              <w:rPr>
                <w:rFonts w:ascii="Open Sans" w:hAnsi="Open Sans" w:cs="Open Sans"/>
                <w:color w:val="000000" w:themeColor="text1"/>
                <w:sz w:val="12"/>
                <w:szCs w:val="12"/>
              </w:rPr>
            </w:pPr>
            <w:r w:rsidRPr="00566713">
              <w:rPr>
                <w:rFonts w:ascii="Segoe UI" w:hAnsi="Segoe UI" w:cs="Segoe UI"/>
                <w:color w:val="242424"/>
                <w:sz w:val="12"/>
                <w:szCs w:val="12"/>
                <w:shd w:val="clear" w:color="auto" w:fill="FFFFFF"/>
              </w:rPr>
              <w:t>0804266-06.2021.4.05.8400</w:t>
            </w:r>
          </w:p>
        </w:tc>
        <w:tc>
          <w:tcPr>
            <w:tcW w:w="2639" w:type="dxa"/>
            <w:vAlign w:val="center"/>
          </w:tcPr>
          <w:p w14:paraId="73E76A5B" w14:textId="77777777" w:rsidR="00ED0212" w:rsidRPr="00566713" w:rsidRDefault="00ED0212" w:rsidP="00ED0212">
            <w:pPr>
              <w:pStyle w:val="PargrafodaLista"/>
              <w:spacing w:line="276" w:lineRule="auto"/>
              <w:ind w:left="0"/>
              <w:contextualSpacing/>
              <w:jc w:val="both"/>
              <w:rPr>
                <w:rFonts w:ascii="Open Sans" w:hAnsi="Open Sans" w:cs="Open Sans"/>
                <w:color w:val="000000" w:themeColor="text1"/>
                <w:sz w:val="12"/>
                <w:szCs w:val="12"/>
              </w:rPr>
            </w:pPr>
            <w:r w:rsidRPr="00566713">
              <w:rPr>
                <w:rFonts w:ascii="Open Sans" w:hAnsi="Open Sans" w:cs="Open Sans"/>
                <w:color w:val="000000" w:themeColor="text1"/>
                <w:sz w:val="12"/>
                <w:szCs w:val="12"/>
              </w:rPr>
              <w:t xml:space="preserve">6ª Vara </w:t>
            </w:r>
            <w:r>
              <w:rPr>
                <w:rFonts w:ascii="Open Sans" w:hAnsi="Open Sans" w:cs="Open Sans"/>
                <w:color w:val="000000" w:themeColor="text1"/>
                <w:sz w:val="12"/>
                <w:szCs w:val="12"/>
              </w:rPr>
              <w:t xml:space="preserve">Federal </w:t>
            </w:r>
            <w:r w:rsidRPr="00566713">
              <w:rPr>
                <w:rFonts w:ascii="Open Sans" w:hAnsi="Open Sans" w:cs="Open Sans"/>
                <w:color w:val="000000" w:themeColor="text1"/>
                <w:sz w:val="12"/>
                <w:szCs w:val="12"/>
              </w:rPr>
              <w:t xml:space="preserve">da Seção Judiciária do </w:t>
            </w:r>
            <w:r>
              <w:rPr>
                <w:rFonts w:ascii="Open Sans" w:hAnsi="Open Sans" w:cs="Open Sans"/>
                <w:color w:val="000000" w:themeColor="text1"/>
                <w:sz w:val="12"/>
                <w:szCs w:val="12"/>
              </w:rPr>
              <w:t xml:space="preserve">Estado do </w:t>
            </w:r>
            <w:r w:rsidRPr="00566713">
              <w:rPr>
                <w:rFonts w:ascii="Open Sans" w:hAnsi="Open Sans" w:cs="Open Sans"/>
                <w:color w:val="000000" w:themeColor="text1"/>
                <w:sz w:val="12"/>
                <w:szCs w:val="12"/>
              </w:rPr>
              <w:t>Rio Grande do Norte</w:t>
            </w:r>
          </w:p>
        </w:tc>
        <w:tc>
          <w:tcPr>
            <w:tcW w:w="993" w:type="dxa"/>
            <w:vAlign w:val="center"/>
          </w:tcPr>
          <w:p w14:paraId="0FE8112F" w14:textId="77777777" w:rsidR="00ED0212" w:rsidRPr="00CC1C81" w:rsidRDefault="00ED0212" w:rsidP="00ED0212">
            <w:pPr>
              <w:pStyle w:val="PargrafodaLista"/>
              <w:spacing w:line="276" w:lineRule="auto"/>
              <w:ind w:left="0"/>
              <w:contextualSpacing/>
              <w:jc w:val="both"/>
              <w:rPr>
                <w:rFonts w:ascii="Open Sans" w:hAnsi="Open Sans" w:cs="Open Sans"/>
                <w:color w:val="000000" w:themeColor="text1"/>
                <w:sz w:val="12"/>
                <w:szCs w:val="12"/>
              </w:rPr>
            </w:pPr>
            <w:r>
              <w:rPr>
                <w:rFonts w:ascii="Open Sans" w:hAnsi="Open Sans" w:cs="Open Sans"/>
                <w:color w:val="000000" w:themeColor="text1"/>
                <w:sz w:val="12"/>
                <w:szCs w:val="12"/>
              </w:rPr>
              <w:t>Cedente</w:t>
            </w:r>
          </w:p>
        </w:tc>
        <w:tc>
          <w:tcPr>
            <w:tcW w:w="2100" w:type="dxa"/>
            <w:vAlign w:val="center"/>
          </w:tcPr>
          <w:p w14:paraId="54E7EFBF" w14:textId="77777777" w:rsidR="00ED0212" w:rsidRPr="00566713" w:rsidRDefault="00ED0212" w:rsidP="00ED0212">
            <w:pPr>
              <w:pStyle w:val="PargrafodaLista"/>
              <w:spacing w:line="276" w:lineRule="auto"/>
              <w:ind w:left="0"/>
              <w:contextualSpacing/>
              <w:jc w:val="both"/>
              <w:rPr>
                <w:rFonts w:ascii="Open Sans" w:hAnsi="Open Sans" w:cs="Open Sans"/>
                <w:color w:val="000000" w:themeColor="text1"/>
                <w:sz w:val="12"/>
                <w:szCs w:val="12"/>
              </w:rPr>
            </w:pPr>
            <w:r w:rsidRPr="00566713">
              <w:rPr>
                <w:rFonts w:ascii="Open Sans" w:hAnsi="Open Sans" w:cs="Open Sans"/>
                <w:color w:val="000000" w:themeColor="text1"/>
                <w:sz w:val="12"/>
                <w:szCs w:val="12"/>
              </w:rPr>
              <w:t>Execução Fiscal</w:t>
            </w:r>
          </w:p>
        </w:tc>
        <w:tc>
          <w:tcPr>
            <w:tcW w:w="1014" w:type="dxa"/>
            <w:gridSpan w:val="2"/>
            <w:vAlign w:val="center"/>
          </w:tcPr>
          <w:p w14:paraId="60E54AA7" w14:textId="77777777" w:rsidR="00ED0212" w:rsidRPr="00566713" w:rsidRDefault="00ED0212" w:rsidP="00ED0212">
            <w:pPr>
              <w:pStyle w:val="PargrafodaLista"/>
              <w:spacing w:line="276" w:lineRule="auto"/>
              <w:ind w:left="0"/>
              <w:contextualSpacing/>
              <w:jc w:val="right"/>
              <w:rPr>
                <w:rFonts w:ascii="Open Sans" w:hAnsi="Open Sans" w:cs="Open Sans"/>
                <w:color w:val="000000" w:themeColor="text1"/>
                <w:sz w:val="12"/>
                <w:szCs w:val="12"/>
              </w:rPr>
            </w:pPr>
            <w:r w:rsidRPr="00566713">
              <w:rPr>
                <w:rFonts w:ascii="Open Sans" w:hAnsi="Open Sans" w:cs="Open Sans"/>
                <w:color w:val="000000" w:themeColor="text1"/>
                <w:sz w:val="12"/>
                <w:szCs w:val="12"/>
              </w:rPr>
              <w:t>436.376,87</w:t>
            </w:r>
          </w:p>
        </w:tc>
      </w:tr>
      <w:tr w:rsidR="00ED0212" w:rsidRPr="00566713" w14:paraId="4DFC24C7" w14:textId="77777777" w:rsidTr="00AA5DCD">
        <w:trPr>
          <w:gridAfter w:val="1"/>
          <w:wAfter w:w="22" w:type="dxa"/>
        </w:trPr>
        <w:tc>
          <w:tcPr>
            <w:tcW w:w="1892" w:type="dxa"/>
            <w:vAlign w:val="center"/>
          </w:tcPr>
          <w:p w14:paraId="28A388B6" w14:textId="77777777" w:rsidR="00ED0212" w:rsidRPr="00566713" w:rsidRDefault="00ED0212" w:rsidP="00ED0212">
            <w:pPr>
              <w:pStyle w:val="PargrafodaLista"/>
              <w:spacing w:line="276" w:lineRule="auto"/>
              <w:ind w:left="0"/>
              <w:contextualSpacing/>
              <w:rPr>
                <w:rFonts w:ascii="Open Sans" w:hAnsi="Open Sans" w:cs="Open Sans"/>
                <w:color w:val="000000" w:themeColor="text1"/>
                <w:sz w:val="12"/>
                <w:szCs w:val="12"/>
              </w:rPr>
            </w:pPr>
            <w:r w:rsidRPr="00566713">
              <w:rPr>
                <w:rFonts w:ascii="Open Sans" w:hAnsi="Open Sans" w:cs="Open Sans"/>
                <w:color w:val="000000" w:themeColor="text1"/>
                <w:sz w:val="12"/>
                <w:szCs w:val="12"/>
              </w:rPr>
              <w:t>0812783-93.2020.8.20.5001</w:t>
            </w:r>
          </w:p>
        </w:tc>
        <w:tc>
          <w:tcPr>
            <w:tcW w:w="2639" w:type="dxa"/>
            <w:vAlign w:val="center"/>
          </w:tcPr>
          <w:p w14:paraId="24C0747A" w14:textId="77777777" w:rsidR="00ED0212" w:rsidRPr="00566713" w:rsidRDefault="00ED0212" w:rsidP="00ED0212">
            <w:pPr>
              <w:pStyle w:val="PargrafodaLista"/>
              <w:spacing w:line="276" w:lineRule="auto"/>
              <w:ind w:left="0"/>
              <w:contextualSpacing/>
              <w:jc w:val="both"/>
              <w:rPr>
                <w:rFonts w:ascii="Open Sans" w:hAnsi="Open Sans" w:cs="Open Sans"/>
                <w:color w:val="000000" w:themeColor="text1"/>
                <w:sz w:val="12"/>
                <w:szCs w:val="12"/>
              </w:rPr>
            </w:pPr>
            <w:r w:rsidRPr="00566713">
              <w:rPr>
                <w:rFonts w:ascii="Open Sans" w:hAnsi="Open Sans" w:cs="Open Sans"/>
                <w:color w:val="000000" w:themeColor="text1"/>
                <w:sz w:val="12"/>
                <w:szCs w:val="12"/>
              </w:rPr>
              <w:t>5ª Vara Cível da Comarca de Natal</w:t>
            </w:r>
          </w:p>
        </w:tc>
        <w:tc>
          <w:tcPr>
            <w:tcW w:w="993" w:type="dxa"/>
            <w:vAlign w:val="center"/>
          </w:tcPr>
          <w:p w14:paraId="0641354E" w14:textId="77777777" w:rsidR="00ED0212" w:rsidRDefault="00ED0212" w:rsidP="00ED0212">
            <w:pPr>
              <w:pStyle w:val="PargrafodaLista"/>
              <w:spacing w:line="276" w:lineRule="auto"/>
              <w:ind w:left="0"/>
              <w:contextualSpacing/>
              <w:jc w:val="both"/>
              <w:rPr>
                <w:rFonts w:ascii="Open Sans" w:hAnsi="Open Sans" w:cs="Open Sans"/>
                <w:color w:val="000000" w:themeColor="text1"/>
                <w:sz w:val="12"/>
                <w:szCs w:val="12"/>
              </w:rPr>
            </w:pPr>
            <w:r>
              <w:rPr>
                <w:rFonts w:ascii="Open Sans" w:hAnsi="Open Sans" w:cs="Open Sans"/>
                <w:color w:val="000000" w:themeColor="text1"/>
                <w:sz w:val="12"/>
                <w:szCs w:val="12"/>
              </w:rPr>
              <w:t>Cedente</w:t>
            </w:r>
          </w:p>
        </w:tc>
        <w:tc>
          <w:tcPr>
            <w:tcW w:w="2100" w:type="dxa"/>
            <w:vAlign w:val="center"/>
          </w:tcPr>
          <w:p w14:paraId="0EA6A1AB" w14:textId="77777777" w:rsidR="00ED0212" w:rsidRPr="00566713" w:rsidRDefault="00ED0212" w:rsidP="00ED0212">
            <w:pPr>
              <w:pStyle w:val="PargrafodaLista"/>
              <w:spacing w:line="276" w:lineRule="auto"/>
              <w:ind w:left="0"/>
              <w:contextualSpacing/>
              <w:jc w:val="both"/>
              <w:rPr>
                <w:rFonts w:ascii="Open Sans" w:hAnsi="Open Sans" w:cs="Open Sans"/>
                <w:color w:val="000000" w:themeColor="text1"/>
                <w:sz w:val="12"/>
                <w:szCs w:val="12"/>
              </w:rPr>
            </w:pPr>
            <w:r>
              <w:rPr>
                <w:rFonts w:ascii="Open Sans" w:hAnsi="Open Sans" w:cs="Open Sans"/>
                <w:color w:val="000000" w:themeColor="text1"/>
                <w:sz w:val="12"/>
                <w:szCs w:val="12"/>
              </w:rPr>
              <w:t>Cumprimento de Sentença</w:t>
            </w:r>
          </w:p>
        </w:tc>
        <w:tc>
          <w:tcPr>
            <w:tcW w:w="1014" w:type="dxa"/>
            <w:gridSpan w:val="2"/>
            <w:vAlign w:val="center"/>
          </w:tcPr>
          <w:p w14:paraId="2994D6AB" w14:textId="77777777" w:rsidR="00ED0212" w:rsidRPr="00566713" w:rsidRDefault="00ED0212" w:rsidP="00ED0212">
            <w:pPr>
              <w:pStyle w:val="PargrafodaLista"/>
              <w:spacing w:line="276" w:lineRule="auto"/>
              <w:ind w:left="0"/>
              <w:contextualSpacing/>
              <w:jc w:val="right"/>
              <w:rPr>
                <w:rFonts w:ascii="Open Sans" w:hAnsi="Open Sans" w:cs="Open Sans"/>
                <w:color w:val="000000" w:themeColor="text1"/>
                <w:sz w:val="12"/>
                <w:szCs w:val="12"/>
              </w:rPr>
            </w:pPr>
            <w:r w:rsidRPr="00566713">
              <w:rPr>
                <w:rFonts w:ascii="Open Sans" w:hAnsi="Open Sans" w:cs="Open Sans"/>
                <w:color w:val="000000" w:themeColor="text1"/>
                <w:sz w:val="12"/>
                <w:szCs w:val="12"/>
              </w:rPr>
              <w:t>162.589,33</w:t>
            </w:r>
          </w:p>
        </w:tc>
      </w:tr>
      <w:tr w:rsidR="00ED0212" w:rsidRPr="00566713" w14:paraId="43444F7F" w14:textId="77777777" w:rsidTr="00AA5DCD">
        <w:tc>
          <w:tcPr>
            <w:tcW w:w="7646" w:type="dxa"/>
            <w:gridSpan w:val="5"/>
            <w:shd w:val="clear" w:color="auto" w:fill="BFBFBF" w:themeFill="background1" w:themeFillShade="BF"/>
          </w:tcPr>
          <w:p w14:paraId="5D1BCB25" w14:textId="77777777" w:rsidR="00ED0212" w:rsidRPr="00566713" w:rsidRDefault="00ED0212" w:rsidP="00ED0212">
            <w:pPr>
              <w:pStyle w:val="PargrafodaLista"/>
              <w:spacing w:line="276" w:lineRule="auto"/>
              <w:ind w:left="0"/>
              <w:contextualSpacing/>
              <w:jc w:val="right"/>
              <w:rPr>
                <w:rFonts w:ascii="Open Sans" w:hAnsi="Open Sans" w:cs="Open Sans"/>
                <w:b/>
                <w:bCs/>
                <w:color w:val="000000" w:themeColor="text1"/>
                <w:sz w:val="12"/>
                <w:szCs w:val="12"/>
              </w:rPr>
            </w:pPr>
            <w:r w:rsidRPr="00566713">
              <w:rPr>
                <w:rFonts w:ascii="Open Sans" w:hAnsi="Open Sans" w:cs="Open Sans"/>
                <w:b/>
                <w:bCs/>
                <w:color w:val="000000" w:themeColor="text1"/>
                <w:sz w:val="12"/>
                <w:szCs w:val="12"/>
              </w:rPr>
              <w:t>Total:</w:t>
            </w:r>
          </w:p>
        </w:tc>
        <w:tc>
          <w:tcPr>
            <w:tcW w:w="1014" w:type="dxa"/>
            <w:gridSpan w:val="2"/>
            <w:shd w:val="clear" w:color="auto" w:fill="BFBFBF" w:themeFill="background1" w:themeFillShade="BF"/>
            <w:vAlign w:val="center"/>
          </w:tcPr>
          <w:p w14:paraId="0E4D3704" w14:textId="77777777" w:rsidR="00ED0212" w:rsidRPr="00566713" w:rsidRDefault="00ED0212" w:rsidP="00ED0212">
            <w:pPr>
              <w:pStyle w:val="PargrafodaLista"/>
              <w:spacing w:line="276" w:lineRule="auto"/>
              <w:ind w:left="0"/>
              <w:contextualSpacing/>
              <w:jc w:val="right"/>
              <w:rPr>
                <w:rFonts w:ascii="Open Sans" w:hAnsi="Open Sans" w:cs="Open Sans"/>
                <w:b/>
                <w:bCs/>
                <w:color w:val="000000" w:themeColor="text1"/>
                <w:sz w:val="12"/>
                <w:szCs w:val="12"/>
              </w:rPr>
            </w:pPr>
            <w:r w:rsidRPr="00566713">
              <w:rPr>
                <w:rFonts w:ascii="Open Sans" w:hAnsi="Open Sans" w:cs="Open Sans"/>
                <w:b/>
                <w:bCs/>
                <w:color w:val="000000" w:themeColor="text1"/>
                <w:sz w:val="12"/>
                <w:szCs w:val="12"/>
              </w:rPr>
              <w:t>1.417.945,73</w:t>
            </w:r>
          </w:p>
        </w:tc>
      </w:tr>
    </w:tbl>
    <w:p w14:paraId="6A90FCE1" w14:textId="77777777" w:rsidR="008603F6" w:rsidRPr="007A3B89" w:rsidRDefault="008603F6" w:rsidP="008603F6">
      <w:pPr>
        <w:pStyle w:val="Estilo"/>
        <w:jc w:val="both"/>
        <w:rPr>
          <w:rFonts w:ascii="Open Sans" w:hAnsi="Open Sans" w:cs="Open Sans"/>
          <w:b/>
          <w:sz w:val="20"/>
          <w:szCs w:val="20"/>
          <w:shd w:val="clear" w:color="auto" w:fill="FFFFFF"/>
        </w:rPr>
      </w:pPr>
    </w:p>
    <w:p w14:paraId="57424630" w14:textId="73F2DD65" w:rsidR="008603F6" w:rsidRPr="007A3B89" w:rsidRDefault="00ED0212" w:rsidP="008603F6">
      <w:pPr>
        <w:pStyle w:val="Estilo"/>
        <w:jc w:val="both"/>
        <w:rPr>
          <w:rFonts w:ascii="Open Sans" w:hAnsi="Open Sans" w:cs="Open Sans"/>
          <w:b/>
          <w:sz w:val="20"/>
          <w:szCs w:val="20"/>
          <w:shd w:val="clear" w:color="auto" w:fill="FFFFFF"/>
        </w:rPr>
      </w:pPr>
      <w:r>
        <w:rPr>
          <w:rFonts w:ascii="Open Sans" w:hAnsi="Open Sans" w:cs="Open Sans"/>
          <w:b/>
          <w:sz w:val="20"/>
          <w:szCs w:val="20"/>
          <w:shd w:val="clear" w:color="auto" w:fill="FFFFFF"/>
        </w:rPr>
        <w:t>[</w:t>
      </w:r>
      <w:r w:rsidR="008603F6" w:rsidRPr="007A3B89">
        <w:rPr>
          <w:rFonts w:ascii="Open Sans" w:hAnsi="Open Sans" w:cs="Open Sans"/>
          <w:b/>
          <w:sz w:val="20"/>
          <w:szCs w:val="20"/>
          <w:shd w:val="clear" w:color="auto" w:fill="FFFFFF"/>
        </w:rPr>
        <w:tab/>
        <w:t>] APROVAR</w:t>
      </w:r>
      <w:r w:rsidR="008603F6" w:rsidRPr="007A3B89">
        <w:rPr>
          <w:rFonts w:ascii="Open Sans" w:hAnsi="Open Sans" w:cs="Open Sans"/>
          <w:b/>
          <w:sz w:val="20"/>
          <w:szCs w:val="20"/>
          <w:shd w:val="clear" w:color="auto" w:fill="FFFFFF"/>
        </w:rPr>
        <w:tab/>
      </w:r>
      <w:r w:rsidR="008603F6" w:rsidRPr="007A3B89">
        <w:rPr>
          <w:rFonts w:ascii="Open Sans" w:hAnsi="Open Sans" w:cs="Open Sans"/>
          <w:b/>
          <w:sz w:val="20"/>
          <w:szCs w:val="20"/>
          <w:shd w:val="clear" w:color="auto" w:fill="FFFFFF"/>
        </w:rPr>
        <w:tab/>
        <w:t>[</w:t>
      </w:r>
      <w:r w:rsidR="008603F6" w:rsidRPr="007A3B89">
        <w:rPr>
          <w:rFonts w:ascii="Open Sans" w:hAnsi="Open Sans" w:cs="Open Sans"/>
          <w:b/>
          <w:sz w:val="20"/>
          <w:szCs w:val="20"/>
          <w:shd w:val="clear" w:color="auto" w:fill="FFFFFF"/>
        </w:rPr>
        <w:tab/>
        <w:t>] REJEITAR</w:t>
      </w:r>
      <w:r w:rsidR="008603F6" w:rsidRPr="007A3B89">
        <w:rPr>
          <w:rFonts w:ascii="Open Sans" w:hAnsi="Open Sans" w:cs="Open Sans"/>
          <w:b/>
          <w:sz w:val="20"/>
          <w:szCs w:val="20"/>
          <w:shd w:val="clear" w:color="auto" w:fill="FFFFFF"/>
        </w:rPr>
        <w:tab/>
      </w:r>
      <w:r w:rsidR="008603F6" w:rsidRPr="007A3B89">
        <w:rPr>
          <w:rFonts w:ascii="Open Sans" w:hAnsi="Open Sans" w:cs="Open Sans"/>
          <w:b/>
          <w:sz w:val="20"/>
          <w:szCs w:val="20"/>
          <w:shd w:val="clear" w:color="auto" w:fill="FFFFFF"/>
        </w:rPr>
        <w:tab/>
        <w:t>[</w:t>
      </w:r>
      <w:r w:rsidR="008603F6" w:rsidRPr="007A3B89">
        <w:rPr>
          <w:rFonts w:ascii="Open Sans" w:hAnsi="Open Sans" w:cs="Open Sans"/>
          <w:b/>
          <w:sz w:val="20"/>
          <w:szCs w:val="20"/>
          <w:shd w:val="clear" w:color="auto" w:fill="FFFFFF"/>
        </w:rPr>
        <w:tab/>
        <w:t>] ABSTER-SE</w:t>
      </w:r>
    </w:p>
    <w:p w14:paraId="248B8258" w14:textId="77777777" w:rsidR="008603F6" w:rsidRPr="007A3B89" w:rsidRDefault="008603F6" w:rsidP="008603F6">
      <w:pPr>
        <w:pStyle w:val="Estilo"/>
        <w:pBdr>
          <w:bottom w:val="single" w:sz="4" w:space="1" w:color="auto"/>
        </w:pBdr>
        <w:jc w:val="both"/>
        <w:rPr>
          <w:rFonts w:ascii="Open Sans" w:hAnsi="Open Sans" w:cs="Open Sans"/>
          <w:sz w:val="20"/>
          <w:szCs w:val="20"/>
          <w:shd w:val="clear" w:color="auto" w:fill="FFFFFF"/>
        </w:rPr>
      </w:pPr>
    </w:p>
    <w:p w14:paraId="3963B06B" w14:textId="77777777" w:rsidR="008139B6" w:rsidRDefault="008139B6" w:rsidP="00C41816">
      <w:pPr>
        <w:pStyle w:val="Estilo"/>
        <w:jc w:val="both"/>
        <w:rPr>
          <w:rFonts w:ascii="Open Sans" w:hAnsi="Open Sans" w:cs="Open Sans"/>
          <w:sz w:val="20"/>
          <w:szCs w:val="20"/>
          <w:shd w:val="clear" w:color="auto" w:fill="FFFFFF"/>
        </w:rPr>
      </w:pPr>
    </w:p>
    <w:p w14:paraId="5DC824C2" w14:textId="1EA8AAFA" w:rsidR="00C065E6" w:rsidRPr="00130A34" w:rsidRDefault="00F52B1A" w:rsidP="005E0C38">
      <w:pPr>
        <w:pStyle w:val="Estilo"/>
        <w:jc w:val="both"/>
        <w:rPr>
          <w:rFonts w:ascii="Open Sans" w:hAnsi="Open Sans" w:cs="Open Sans"/>
          <w:b/>
          <w:bCs/>
          <w:sz w:val="20"/>
          <w:szCs w:val="20"/>
          <w:shd w:val="clear" w:color="auto" w:fill="FFFFFF"/>
        </w:rPr>
      </w:pPr>
      <w:r>
        <w:rPr>
          <w:rFonts w:ascii="Open Sans" w:hAnsi="Open Sans" w:cs="Open Sans"/>
          <w:b/>
          <w:bCs/>
          <w:color w:val="000000" w:themeColor="text1"/>
          <w:sz w:val="20"/>
          <w:szCs w:val="20"/>
        </w:rPr>
        <w:t>(iii)</w:t>
      </w:r>
      <w:r w:rsidR="006E6635">
        <w:rPr>
          <w:rFonts w:ascii="Open Sans" w:hAnsi="Open Sans" w:cs="Open Sans"/>
          <w:b/>
          <w:bCs/>
          <w:color w:val="000000" w:themeColor="text1"/>
          <w:sz w:val="20"/>
          <w:szCs w:val="20"/>
        </w:rPr>
        <w:tab/>
      </w:r>
      <w:r>
        <w:rPr>
          <w:rFonts w:ascii="Open Sans" w:hAnsi="Open Sans" w:cs="Open Sans"/>
          <w:color w:val="000000" w:themeColor="text1"/>
          <w:sz w:val="20"/>
          <w:szCs w:val="20"/>
        </w:rPr>
        <w:t>C</w:t>
      </w:r>
      <w:r w:rsidR="001728A2" w:rsidRPr="00F96694">
        <w:rPr>
          <w:rFonts w:ascii="Open Sans" w:hAnsi="Open Sans" w:cs="Open Sans"/>
          <w:color w:val="000000" w:themeColor="text1"/>
          <w:sz w:val="20"/>
          <w:szCs w:val="20"/>
        </w:rPr>
        <w:t xml:space="preserve">aso seja aprovada a Recompra Compulsória, nos termos do item (i) </w:t>
      </w:r>
      <w:r w:rsidR="001728A2">
        <w:rPr>
          <w:rFonts w:ascii="Open Sans" w:hAnsi="Open Sans" w:cs="Open Sans"/>
          <w:color w:val="000000" w:themeColor="text1"/>
          <w:sz w:val="20"/>
          <w:szCs w:val="20"/>
        </w:rPr>
        <w:t xml:space="preserve">e/ou (ii) </w:t>
      </w:r>
      <w:r w:rsidR="001728A2" w:rsidRPr="00F96694">
        <w:rPr>
          <w:rFonts w:ascii="Open Sans" w:hAnsi="Open Sans" w:cs="Open Sans"/>
          <w:color w:val="000000" w:themeColor="text1"/>
          <w:sz w:val="20"/>
          <w:szCs w:val="20"/>
        </w:rPr>
        <w:t xml:space="preserve">da Ordem do Dia, a </w:t>
      </w:r>
      <w:r w:rsidR="001728A2">
        <w:rPr>
          <w:rFonts w:ascii="Open Sans" w:hAnsi="Open Sans" w:cs="Open Sans"/>
          <w:color w:val="000000" w:themeColor="text1"/>
          <w:sz w:val="20"/>
          <w:szCs w:val="20"/>
        </w:rPr>
        <w:t xml:space="preserve">aprovação, ou não, da contratação de assessor legal que será responsável por definir e implementar a </w:t>
      </w:r>
      <w:r w:rsidR="001728A2" w:rsidRPr="00F96694">
        <w:rPr>
          <w:rFonts w:ascii="Open Sans" w:hAnsi="Open Sans" w:cs="Open Sans"/>
          <w:color w:val="000000" w:themeColor="text1"/>
          <w:sz w:val="20"/>
          <w:szCs w:val="20"/>
        </w:rPr>
        <w:t>estratégia da excussão das garantias</w:t>
      </w:r>
      <w:r w:rsidR="00236861">
        <w:rPr>
          <w:rFonts w:ascii="Open Sans" w:hAnsi="Open Sans" w:cs="Open Sans"/>
          <w:color w:val="000000" w:themeColor="text1"/>
          <w:sz w:val="20"/>
          <w:szCs w:val="20"/>
        </w:rPr>
        <w:t>; e</w:t>
      </w:r>
    </w:p>
    <w:p w14:paraId="6C701727" w14:textId="77777777" w:rsidR="00C065E6" w:rsidRDefault="00C065E6" w:rsidP="00C41816">
      <w:pPr>
        <w:pStyle w:val="Estilo"/>
        <w:jc w:val="both"/>
        <w:rPr>
          <w:rFonts w:ascii="Open Sans" w:hAnsi="Open Sans" w:cs="Open Sans"/>
          <w:sz w:val="20"/>
          <w:szCs w:val="20"/>
          <w:shd w:val="clear" w:color="auto" w:fill="FFFFFF"/>
        </w:rPr>
      </w:pPr>
    </w:p>
    <w:p w14:paraId="680DF858" w14:textId="77777777" w:rsidR="005E0C38" w:rsidRPr="007A3B89" w:rsidRDefault="005E0C38" w:rsidP="005E0C38">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4197D9F1" w14:textId="77777777" w:rsidR="00C065E6" w:rsidRDefault="00C065E6" w:rsidP="00C41816">
      <w:pPr>
        <w:pStyle w:val="Estilo"/>
        <w:jc w:val="both"/>
        <w:rPr>
          <w:rFonts w:ascii="Open Sans" w:hAnsi="Open Sans" w:cs="Open Sans"/>
          <w:sz w:val="20"/>
          <w:szCs w:val="20"/>
          <w:shd w:val="clear" w:color="auto" w:fill="FFFFFF"/>
        </w:rPr>
      </w:pPr>
    </w:p>
    <w:p w14:paraId="4502E978" w14:textId="77777777" w:rsidR="005E0C38" w:rsidRDefault="005E0C38">
      <w:pPr>
        <w:rPr>
          <w:rFonts w:ascii="Times New Roman" w:eastAsia="Times New Roman" w:hAnsi="Times New Roman" w:cs="Times New Roman"/>
          <w:lang w:eastAsia="pt-BR"/>
        </w:rPr>
      </w:pPr>
      <w:r>
        <w:rPr>
          <w:rFonts w:ascii="Open Sans" w:hAnsi="Open Sans" w:cs="Open Sans"/>
          <w:sz w:val="20"/>
          <w:szCs w:val="20"/>
          <w:shd w:val="clear" w:color="auto" w:fill="FFFFFF"/>
        </w:rPr>
        <w:t>_____________________________________________________________________________________________________</w:t>
      </w:r>
    </w:p>
    <w:p w14:paraId="176FD7A7" w14:textId="5D273AAD" w:rsidR="005E0C38" w:rsidRDefault="005E0C38" w:rsidP="005E0C38">
      <w:pPr>
        <w:pStyle w:val="Estilo"/>
        <w:jc w:val="both"/>
        <w:rPr>
          <w:rFonts w:ascii="Open Sans" w:hAnsi="Open Sans" w:cs="Open Sans"/>
          <w:sz w:val="20"/>
          <w:szCs w:val="20"/>
          <w:shd w:val="clear" w:color="auto" w:fill="FFFFFF"/>
        </w:rPr>
      </w:pPr>
    </w:p>
    <w:p w14:paraId="4488C210" w14:textId="162D13BE" w:rsidR="00C065E6" w:rsidRPr="007116A2" w:rsidRDefault="006E6635" w:rsidP="00C065E6">
      <w:pPr>
        <w:pStyle w:val="PargrafodaLista"/>
        <w:widowControl w:val="0"/>
        <w:autoSpaceDE w:val="0"/>
        <w:autoSpaceDN w:val="0"/>
        <w:adjustRightInd w:val="0"/>
        <w:ind w:left="0"/>
        <w:jc w:val="both"/>
        <w:rPr>
          <w:rFonts w:ascii="Open Sans" w:hAnsi="Open Sans" w:cs="Open Sans"/>
          <w:color w:val="000000" w:themeColor="text1"/>
          <w:sz w:val="20"/>
          <w:szCs w:val="20"/>
        </w:rPr>
      </w:pPr>
      <w:r>
        <w:rPr>
          <w:rFonts w:ascii="Open Sans" w:hAnsi="Open Sans" w:cs="Open Sans"/>
          <w:b/>
          <w:bCs/>
          <w:color w:val="000000" w:themeColor="text1"/>
          <w:sz w:val="20"/>
          <w:szCs w:val="20"/>
        </w:rPr>
        <w:t>(iv)</w:t>
      </w:r>
      <w:r>
        <w:rPr>
          <w:rFonts w:ascii="Open Sans" w:hAnsi="Open Sans" w:cs="Open Sans"/>
          <w:b/>
          <w:bCs/>
          <w:color w:val="000000" w:themeColor="text1"/>
          <w:sz w:val="20"/>
          <w:szCs w:val="20"/>
        </w:rPr>
        <w:tab/>
      </w:r>
      <w:r>
        <w:rPr>
          <w:rFonts w:ascii="Open Sans" w:hAnsi="Open Sans" w:cs="Open Sans"/>
          <w:color w:val="000000" w:themeColor="text1"/>
          <w:sz w:val="20"/>
          <w:szCs w:val="20"/>
        </w:rPr>
        <w:t>A</w:t>
      </w:r>
      <w:r w:rsidR="00C065E6" w:rsidRPr="003A3BA1">
        <w:rPr>
          <w:rFonts w:ascii="Open Sans" w:hAnsi="Open Sans" w:cs="Open Sans"/>
          <w:color w:val="000000" w:themeColor="text1"/>
          <w:sz w:val="20"/>
          <w:szCs w:val="20"/>
        </w:rPr>
        <w:t>utorização para que o Agente Fiduciário e a Securitizadora pratiquem todo e qualquer ato, celebrem todos e quaisquer contratos, aditamentos ou documentos necessários para a efetivação e implementação das matérias constantes da Ordem do Dia, inclusive, mas sem limitação, o ajuizamento de ação de execução de qualquer dos Documentos da Operação (conforme definido no Termo de Securitização), e/ou a excussão de qualquer das Garantias (conforme definido no Termo de Securitização)</w:t>
      </w:r>
      <w:r w:rsidR="00236861">
        <w:rPr>
          <w:rFonts w:ascii="Open Sans" w:hAnsi="Open Sans" w:cs="Open Sans"/>
          <w:color w:val="000000" w:themeColor="text1"/>
          <w:sz w:val="20"/>
          <w:szCs w:val="20"/>
        </w:rPr>
        <w:t>.</w:t>
      </w:r>
    </w:p>
    <w:p w14:paraId="4D89B4A1" w14:textId="77777777" w:rsidR="00C065E6" w:rsidRPr="007A3B89" w:rsidRDefault="00C065E6" w:rsidP="00C065E6">
      <w:pPr>
        <w:pStyle w:val="Estilo"/>
        <w:jc w:val="both"/>
        <w:rPr>
          <w:rFonts w:ascii="Open Sans" w:hAnsi="Open Sans" w:cs="Open Sans"/>
          <w:b/>
          <w:sz w:val="20"/>
          <w:szCs w:val="20"/>
          <w:shd w:val="clear" w:color="auto" w:fill="FFFFFF"/>
        </w:rPr>
      </w:pPr>
    </w:p>
    <w:p w14:paraId="36E37601" w14:textId="77777777" w:rsidR="00C065E6" w:rsidRPr="007A3B89" w:rsidRDefault="00C065E6" w:rsidP="00C065E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7284C85D" w14:textId="77777777" w:rsidR="00C065E6" w:rsidRPr="007A3B89" w:rsidRDefault="00C065E6" w:rsidP="00C41816">
      <w:pPr>
        <w:pStyle w:val="Estilo"/>
        <w:jc w:val="both"/>
        <w:rPr>
          <w:rFonts w:ascii="Open Sans" w:hAnsi="Open Sans" w:cs="Open Sans"/>
          <w:sz w:val="20"/>
          <w:szCs w:val="20"/>
          <w:shd w:val="clear" w:color="auto" w:fill="FFFFFF"/>
        </w:rPr>
      </w:pPr>
    </w:p>
    <w:p w14:paraId="4264A14F" w14:textId="77777777" w:rsidR="005E0C38" w:rsidRDefault="005E0C38">
      <w:r>
        <w:rPr>
          <w:rFonts w:ascii="Open Sans" w:eastAsia="Times New Roman" w:hAnsi="Open Sans" w:cs="Open Sans"/>
          <w:sz w:val="20"/>
          <w:szCs w:val="20"/>
          <w:shd w:val="clear" w:color="auto" w:fill="FFFFFF"/>
          <w:lang w:eastAsia="pt-BR"/>
        </w:rPr>
        <w:t>_____________________________________________________________________________________________________</w:t>
      </w:r>
    </w:p>
    <w:p w14:paraId="2C71AB81" w14:textId="15964F15" w:rsidR="005E0C38" w:rsidRPr="007A3B89" w:rsidRDefault="005E0C38"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630201DC" w:rsidR="00FB0D24"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F83643">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Assembleia Geral de Titulares dos Certificados de Recebíveis Imobiliários 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481AC4" w:rsidRPr="007A3B89">
        <w:rPr>
          <w:rFonts w:ascii="Open Sans" w:hAnsi="Open Sans" w:cs="Open Sans"/>
          <w:color w:val="000000" w:themeColor="text1"/>
          <w:sz w:val="20"/>
          <w:szCs w:val="20"/>
        </w:rPr>
        <w:t xml:space="preserve"> </w:t>
      </w:r>
      <w:r w:rsidR="00CB14EF" w:rsidRPr="00CB14EF">
        <w:rPr>
          <w:rFonts w:ascii="Open Sans" w:hAnsi="Open Sans" w:cs="Open Sans"/>
          <w:bCs/>
          <w:sz w:val="20"/>
          <w:szCs w:val="20"/>
        </w:rPr>
        <w:t xml:space="preserve">112ª, 113ª, 114ª </w:t>
      </w:r>
      <w:r w:rsidR="00CB14EF">
        <w:rPr>
          <w:rFonts w:ascii="Open Sans" w:hAnsi="Open Sans" w:cs="Open Sans"/>
          <w:bCs/>
          <w:sz w:val="20"/>
          <w:szCs w:val="20"/>
        </w:rPr>
        <w:t>e</w:t>
      </w:r>
      <w:r w:rsidR="00CB14EF" w:rsidRPr="00CB14EF">
        <w:rPr>
          <w:rFonts w:ascii="Open Sans" w:hAnsi="Open Sans" w:cs="Open Sans"/>
          <w:bCs/>
          <w:sz w:val="20"/>
          <w:szCs w:val="20"/>
        </w:rPr>
        <w:t xml:space="preserve"> 115ª </w:t>
      </w:r>
      <w:r w:rsidR="00481AC4" w:rsidRPr="007A3B89">
        <w:rPr>
          <w:rFonts w:ascii="Open Sans" w:hAnsi="Open Sans" w:cs="Open Sans"/>
          <w:color w:val="000000" w:themeColor="text1"/>
          <w:sz w:val="20"/>
          <w:szCs w:val="20"/>
        </w:rPr>
        <w:t>Séries da 1ª Emissão da Forte Securitizadora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w:t>
      </w:r>
      <w:r w:rsidRPr="001D5CBB">
        <w:rPr>
          <w:rFonts w:ascii="Open Sans" w:hAnsi="Open Sans" w:cs="Open Sans"/>
          <w:sz w:val="20"/>
          <w:szCs w:val="20"/>
          <w:shd w:val="clear" w:color="auto" w:fill="FFFFFF"/>
        </w:rPr>
        <w:t xml:space="preserve">atribuído no </w:t>
      </w:r>
      <w:r w:rsidR="00481AC4" w:rsidRPr="001D5CBB">
        <w:rPr>
          <w:rFonts w:ascii="Open Sans" w:hAnsi="Open Sans" w:cs="Open Sans"/>
          <w:i/>
          <w:iCs/>
          <w:color w:val="000000" w:themeColor="text1"/>
          <w:sz w:val="20"/>
          <w:szCs w:val="20"/>
        </w:rPr>
        <w:t>Termo de Securitização de Créditos Imobiliários da</w:t>
      </w:r>
      <w:r w:rsidR="003E7367" w:rsidRPr="001D5CBB">
        <w:rPr>
          <w:rFonts w:ascii="Open Sans" w:hAnsi="Open Sans" w:cs="Open Sans"/>
          <w:i/>
          <w:iCs/>
          <w:color w:val="000000" w:themeColor="text1"/>
          <w:sz w:val="20"/>
          <w:szCs w:val="20"/>
        </w:rPr>
        <w:t>s</w:t>
      </w:r>
      <w:r w:rsidR="00481AC4" w:rsidRPr="001D5CBB">
        <w:rPr>
          <w:rFonts w:ascii="Open Sans" w:hAnsi="Open Sans" w:cs="Open Sans"/>
          <w:i/>
          <w:iCs/>
          <w:color w:val="000000" w:themeColor="text1"/>
          <w:sz w:val="20"/>
          <w:szCs w:val="20"/>
        </w:rPr>
        <w:t xml:space="preserve"> </w:t>
      </w:r>
      <w:r w:rsidR="00CB14EF" w:rsidRPr="001D5CBB">
        <w:rPr>
          <w:rFonts w:ascii="Open Sans" w:hAnsi="Open Sans" w:cs="Open Sans"/>
          <w:bCs/>
          <w:i/>
          <w:iCs/>
          <w:sz w:val="20"/>
          <w:szCs w:val="20"/>
        </w:rPr>
        <w:t xml:space="preserve">112ª, 113ª, 114ª e 115ª </w:t>
      </w:r>
      <w:r w:rsidR="00481AC4" w:rsidRPr="001D5CBB">
        <w:rPr>
          <w:rFonts w:ascii="Open Sans" w:hAnsi="Open Sans" w:cs="Open Sans"/>
          <w:i/>
          <w:iCs/>
          <w:color w:val="000000" w:themeColor="text1"/>
          <w:sz w:val="20"/>
          <w:szCs w:val="20"/>
        </w:rPr>
        <w:t>Séries da 1ª Emissão de Certificados de Recebíveis Imobiliários da</w:t>
      </w:r>
      <w:r w:rsidRPr="001D5CBB">
        <w:rPr>
          <w:rFonts w:ascii="Open Sans" w:hAnsi="Open Sans" w:cs="Open Sans"/>
          <w:i/>
          <w:iCs/>
          <w:sz w:val="20"/>
          <w:szCs w:val="20"/>
        </w:rPr>
        <w:t xml:space="preserve"> </w:t>
      </w:r>
      <w:bookmarkStart w:id="1" w:name="_Hlk99607439"/>
      <w:r w:rsidRPr="001D5CBB">
        <w:rPr>
          <w:rFonts w:ascii="Open Sans" w:hAnsi="Open Sans" w:cs="Open Sans"/>
          <w:i/>
          <w:iCs/>
          <w:sz w:val="20"/>
          <w:szCs w:val="20"/>
        </w:rPr>
        <w:t>Forte Securitizadora S.A.</w:t>
      </w:r>
      <w:bookmarkEnd w:id="1"/>
      <w:r w:rsidRPr="001D5CBB">
        <w:rPr>
          <w:rFonts w:ascii="Open Sans" w:hAnsi="Open Sans" w:cs="Open Sans"/>
          <w:iCs/>
          <w:sz w:val="20"/>
          <w:szCs w:val="20"/>
        </w:rPr>
        <w:t>,</w:t>
      </w:r>
      <w:r w:rsidRPr="001D5CBB">
        <w:rPr>
          <w:rFonts w:ascii="Open Sans" w:hAnsi="Open Sans" w:cs="Open Sans"/>
          <w:sz w:val="20"/>
          <w:szCs w:val="20"/>
        </w:rPr>
        <w:t xml:space="preserve"> celebrado em </w:t>
      </w:r>
      <w:r w:rsidR="001D5CBB" w:rsidRPr="001D5CBB">
        <w:rPr>
          <w:rFonts w:ascii="Open Sans" w:hAnsi="Open Sans" w:cs="Open Sans"/>
          <w:bCs/>
          <w:sz w:val="20"/>
          <w:szCs w:val="20"/>
        </w:rPr>
        <w:t>23</w:t>
      </w:r>
      <w:r w:rsidR="00F04446" w:rsidRPr="001D5CBB">
        <w:rPr>
          <w:rFonts w:ascii="Open Sans" w:hAnsi="Open Sans" w:cs="Open Sans"/>
          <w:bCs/>
          <w:sz w:val="20"/>
          <w:szCs w:val="20"/>
        </w:rPr>
        <w:t xml:space="preserve"> de </w:t>
      </w:r>
      <w:r w:rsidR="001D5CBB" w:rsidRPr="001D5CBB">
        <w:rPr>
          <w:rFonts w:ascii="Open Sans" w:hAnsi="Open Sans" w:cs="Open Sans"/>
          <w:bCs/>
          <w:sz w:val="20"/>
          <w:szCs w:val="20"/>
        </w:rPr>
        <w:t>janeiro</w:t>
      </w:r>
      <w:r w:rsidR="00F04446" w:rsidRPr="001D5CBB">
        <w:rPr>
          <w:rFonts w:ascii="Open Sans" w:hAnsi="Open Sans" w:cs="Open Sans"/>
          <w:bCs/>
          <w:sz w:val="20"/>
          <w:szCs w:val="20"/>
        </w:rPr>
        <w:t xml:space="preserve"> de 201</w:t>
      </w:r>
      <w:r w:rsidR="001D5CBB" w:rsidRPr="001D5CBB">
        <w:rPr>
          <w:rFonts w:ascii="Open Sans" w:hAnsi="Open Sans" w:cs="Open Sans"/>
          <w:bCs/>
          <w:sz w:val="20"/>
          <w:szCs w:val="20"/>
        </w:rPr>
        <w:t>8</w:t>
      </w:r>
      <w:r w:rsidR="00C97EB7" w:rsidRPr="001D5CBB">
        <w:rPr>
          <w:rFonts w:ascii="Open Sans" w:hAnsi="Open Sans" w:cs="Open Sans"/>
          <w:sz w:val="20"/>
          <w:szCs w:val="20"/>
        </w:rPr>
        <w:t>,</w:t>
      </w:r>
      <w:r w:rsidRPr="001D5CBB">
        <w:rPr>
          <w:rFonts w:ascii="Open Sans" w:hAnsi="Open Sans" w:cs="Open Sans"/>
          <w:sz w:val="20"/>
          <w:szCs w:val="20"/>
        </w:rPr>
        <w:t xml:space="preserve"> entre a Emissora e a </w:t>
      </w:r>
      <w:r w:rsidR="00BD7A6F" w:rsidRPr="001D5CBB">
        <w:rPr>
          <w:rFonts w:ascii="Open Sans" w:hAnsi="Open Sans" w:cs="Open Sans"/>
          <w:sz w:val="20"/>
          <w:szCs w:val="20"/>
        </w:rPr>
        <w:t>Vórtx Distribuidora De Títulos e Valores Mobiliários Ltda.</w:t>
      </w:r>
      <w:r w:rsidR="001D5CBB" w:rsidRPr="001D5CBB">
        <w:rPr>
          <w:rFonts w:ascii="Open Sans" w:hAnsi="Open Sans" w:cs="Open Sans"/>
          <w:sz w:val="20"/>
          <w:szCs w:val="20"/>
        </w:rPr>
        <w:t>, conforme aditado</w:t>
      </w:r>
      <w:r w:rsidRPr="001D5CBB">
        <w:rPr>
          <w:rFonts w:ascii="Open Sans" w:hAnsi="Open Sans" w:cs="Open Sans"/>
          <w:sz w:val="20"/>
          <w:szCs w:val="20"/>
        </w:rPr>
        <w:t xml:space="preserve"> (“</w:t>
      </w:r>
      <w:r w:rsidRPr="001D5CBB">
        <w:rPr>
          <w:rFonts w:ascii="Open Sans" w:hAnsi="Open Sans" w:cs="Open Sans"/>
          <w:sz w:val="20"/>
          <w:szCs w:val="20"/>
          <w:u w:val="single"/>
        </w:rPr>
        <w:t>Termo de Securitização</w:t>
      </w:r>
      <w:r w:rsidRPr="001D5CBB">
        <w:rPr>
          <w:rFonts w:ascii="Open Sans" w:hAnsi="Open Sans" w:cs="Open Sans"/>
          <w:sz w:val="20"/>
          <w:szCs w:val="20"/>
        </w:rPr>
        <w:t>” e “</w:t>
      </w:r>
      <w:r w:rsidRPr="001D5CBB">
        <w:rPr>
          <w:rFonts w:ascii="Open Sans" w:hAnsi="Open Sans" w:cs="Open Sans"/>
          <w:sz w:val="20"/>
          <w:szCs w:val="20"/>
          <w:u w:val="single"/>
        </w:rPr>
        <w:t>Agente Fiduciário</w:t>
      </w:r>
      <w:r w:rsidRPr="001D5CBB">
        <w:rPr>
          <w:rFonts w:ascii="Open Sans" w:hAnsi="Open Sans" w:cs="Open Sans"/>
          <w:sz w:val="20"/>
          <w:szCs w:val="20"/>
        </w:rPr>
        <w:t>”, respectivamente)</w:t>
      </w:r>
      <w:r w:rsidRPr="001D5CBB">
        <w:rPr>
          <w:rFonts w:ascii="Open Sans" w:hAnsi="Open Sans" w:cs="Open Sans"/>
          <w:sz w:val="20"/>
          <w:szCs w:val="20"/>
          <w:shd w:val="clear" w:color="auto" w:fill="FFFFFF"/>
        </w:rPr>
        <w:t>.</w:t>
      </w:r>
    </w:p>
    <w:p w14:paraId="5F0E477C" w14:textId="77777777" w:rsidR="0087197C" w:rsidRPr="007A3B89" w:rsidRDefault="0087197C" w:rsidP="00C41816">
      <w:pPr>
        <w:pStyle w:val="Estilo"/>
        <w:jc w:val="both"/>
        <w:rPr>
          <w:rFonts w:ascii="Open Sans" w:hAnsi="Open Sans" w:cs="Open Sans"/>
          <w:b/>
          <w:sz w:val="20"/>
          <w:szCs w:val="20"/>
          <w:shd w:val="clear" w:color="auto" w:fill="FFFFFF"/>
        </w:rPr>
      </w:pPr>
    </w:p>
    <w:p w14:paraId="7AD5EC73" w14:textId="50641C6B" w:rsidR="00616E44" w:rsidRDefault="00FB0D24" w:rsidP="00AC51E1">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lastRenderedPageBreak/>
        <w:t>Esta Instrução de Voto deve ser preenchida caso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r w:rsidRPr="007A3B89">
        <w:rPr>
          <w:rFonts w:ascii="Open Sans" w:hAnsi="Open Sans" w:cs="Open Sans"/>
          <w:sz w:val="20"/>
          <w:szCs w:val="20"/>
          <w:u w:val="single"/>
          <w:shd w:val="clear" w:color="auto" w:fill="FFFFFF"/>
        </w:rPr>
        <w:t>Titular de 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F83643">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da </w:t>
      </w:r>
      <w:r w:rsidR="0087197C">
        <w:rPr>
          <w:rFonts w:ascii="Open Sans" w:hAnsi="Open Sans" w:cs="Open Sans"/>
          <w:sz w:val="20"/>
          <w:szCs w:val="20"/>
          <w:shd w:val="clear" w:color="auto" w:fill="FFFFFF"/>
        </w:rPr>
        <w:t>Resolução</w:t>
      </w:r>
      <w:r w:rsidRPr="007A3B89">
        <w:rPr>
          <w:rFonts w:ascii="Open Sans" w:hAnsi="Open Sans" w:cs="Open Sans"/>
          <w:sz w:val="20"/>
          <w:szCs w:val="20"/>
          <w:shd w:val="clear" w:color="auto" w:fill="FFFFFF"/>
        </w:rPr>
        <w:t xml:space="preserve"> da Comissão de Valores Mobiliários (“</w:t>
      </w:r>
      <w:r w:rsidRPr="007A3B89">
        <w:rPr>
          <w:rFonts w:ascii="Open Sans" w:hAnsi="Open Sans" w:cs="Open Sans"/>
          <w:sz w:val="20"/>
          <w:szCs w:val="20"/>
          <w:u w:val="single"/>
          <w:shd w:val="clear" w:color="auto" w:fill="FFFFFF"/>
        </w:rPr>
        <w:t>CVM</w:t>
      </w:r>
      <w:r w:rsidRPr="007A3B89">
        <w:rPr>
          <w:rFonts w:ascii="Open Sans" w:hAnsi="Open Sans" w:cs="Open Sans"/>
          <w:sz w:val="20"/>
          <w:szCs w:val="20"/>
          <w:shd w:val="clear" w:color="auto" w:fill="FFFFFF"/>
        </w:rPr>
        <w:t xml:space="preserve">”) nº </w:t>
      </w:r>
      <w:r w:rsidR="00743AC7">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xml:space="preserve">, de </w:t>
      </w:r>
      <w:r w:rsidR="00473CF0">
        <w:rPr>
          <w:rFonts w:ascii="Open Sans" w:hAnsi="Open Sans" w:cs="Open Sans"/>
          <w:sz w:val="20"/>
          <w:szCs w:val="20"/>
          <w:shd w:val="clear" w:color="auto" w:fill="FFFFFF"/>
        </w:rPr>
        <w:t>29 de março de 2022</w:t>
      </w:r>
      <w:r w:rsidRPr="007A3B89">
        <w:rPr>
          <w:rFonts w:ascii="Open Sans" w:hAnsi="Open Sans" w:cs="Open Sans"/>
          <w:sz w:val="20"/>
          <w:szCs w:val="20"/>
          <w:shd w:val="clear" w:color="auto" w:fill="FFFFFF"/>
        </w:rPr>
        <w:t xml:space="preserve"> (“</w:t>
      </w:r>
      <w:r w:rsidR="0087197C">
        <w:rPr>
          <w:rFonts w:ascii="Open Sans" w:hAnsi="Open Sans" w:cs="Open Sans"/>
          <w:sz w:val="20"/>
          <w:szCs w:val="20"/>
          <w:u w:val="single"/>
          <w:shd w:val="clear" w:color="auto" w:fill="FFFFFF"/>
        </w:rPr>
        <w:t>Resolução</w:t>
      </w:r>
      <w:r w:rsidRPr="007A3B89">
        <w:rPr>
          <w:rFonts w:ascii="Open Sans" w:hAnsi="Open Sans" w:cs="Open Sans"/>
          <w:sz w:val="20"/>
          <w:szCs w:val="20"/>
          <w:u w:val="single"/>
          <w:shd w:val="clear" w:color="auto" w:fill="FFFFFF"/>
        </w:rPr>
        <w:t xml:space="preserve"> CVM </w:t>
      </w:r>
      <w:r w:rsidR="00236861">
        <w:rPr>
          <w:rFonts w:ascii="Open Sans" w:hAnsi="Open Sans" w:cs="Open Sans"/>
          <w:sz w:val="20"/>
          <w:szCs w:val="20"/>
          <w:u w:val="single"/>
          <w:shd w:val="clear" w:color="auto" w:fill="FFFFFF"/>
        </w:rPr>
        <w:t>81</w:t>
      </w:r>
      <w:r w:rsidRPr="007A3B89">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legal(is), deverá(ão)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2D0E67A4" w14:textId="77777777" w:rsidR="00FB0D24" w:rsidRPr="007A3B89" w:rsidRDefault="00FB0D24" w:rsidP="00C41816">
      <w:pPr>
        <w:pStyle w:val="Estilo"/>
        <w:pBdr>
          <w:bottom w:val="single" w:sz="12" w:space="1" w:color="auto"/>
        </w:pBdr>
        <w:jc w:val="both"/>
        <w:rPr>
          <w:rFonts w:ascii="Open Sans" w:hAnsi="Open Sans" w:cs="Open Sans"/>
          <w:sz w:val="20"/>
          <w:szCs w:val="20"/>
          <w:shd w:val="clear" w:color="auto" w:fill="FFFFFF"/>
        </w:rPr>
      </w:pPr>
    </w:p>
    <w:p w14:paraId="1CAAB7AD" w14:textId="77777777" w:rsidR="00FB0D24" w:rsidRPr="007A3B89" w:rsidRDefault="00FB0D24"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368C156B"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F83643">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Instrução de Voto deverá ser devidamente preenchida e assinada de forma eletrônica, por meio de plataforma para assinaturas eletrônicas, com ou sem certificados digitais emitidos pela ICP-Brasil. Não será exigido o reconhecimento de firma de assinaturas, notarização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7AE7D2B" w14:textId="7D3A67F6"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5C04B00A" w14:textId="77777777" w:rsidR="00FB0D24" w:rsidRPr="007A3B89" w:rsidRDefault="00FB0D24" w:rsidP="00C41816">
      <w:pPr>
        <w:pStyle w:val="Estilo"/>
        <w:ind w:left="1134" w:hanging="360"/>
        <w:jc w:val="both"/>
        <w:rPr>
          <w:rFonts w:ascii="Open Sans" w:hAnsi="Open Sans" w:cs="Open Sans"/>
          <w:sz w:val="20"/>
          <w:szCs w:val="20"/>
          <w:shd w:val="clear" w:color="auto" w:fill="FFFFFF"/>
        </w:rPr>
      </w:pPr>
    </w:p>
    <w:p w14:paraId="3AE24C2B" w14:textId="2BC0488D"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fundo de investimento, (1) último regulamento consolidado do fundo; (2) estatuto ou contrato social do seu administrador ou gestor, conforme o caso, observada a política de voto do fundo e documentos societários que comprovem os poderes de representação em Assembleia Geral 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Caso a Emissora e o Agente Fiduciário recebam mais de uma Instrução de Voto do mesmo Titular </w:t>
      </w:r>
      <w:r w:rsidRPr="007A3B89">
        <w:rPr>
          <w:rFonts w:ascii="Open Sans" w:hAnsi="Open Sans" w:cs="Open Sans"/>
          <w:sz w:val="20"/>
          <w:szCs w:val="20"/>
          <w:shd w:val="clear" w:color="auto" w:fill="FFFFFF"/>
        </w:rPr>
        <w:lastRenderedPageBreak/>
        <w:t>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59BDDA31" w14:textId="77777777" w:rsidR="00BA3A44" w:rsidRPr="007A3B89" w:rsidRDefault="00BA3A44" w:rsidP="00BA3A44">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Titular de CRI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w:t>
      </w:r>
      <w:r w:rsidRPr="00D10C61">
        <w:rPr>
          <w:rFonts w:ascii="Open Sans" w:hAnsi="Open Sans" w:cs="Open Sans"/>
          <w:sz w:val="20"/>
          <w:szCs w:val="20"/>
          <w:shd w:val="clear" w:color="auto" w:fill="FFFFFF"/>
        </w:rPr>
        <w:t xml:space="preserve">automática, sem prejuízo da possibilidade de sua simples participação na Assembleia. Contudo, será desconsiderada a Instrução de Voto anteriormente enviada por tal Titular de CRI ou por seu representante legal caso estes participem da Assembleia através de acesso ao </w:t>
      </w:r>
      <w:r w:rsidRPr="00D10C61">
        <w:rPr>
          <w:rFonts w:ascii="Open Sans" w:hAnsi="Open Sans" w:cs="Open Sans"/>
          <w:i/>
          <w:iCs/>
          <w:sz w:val="20"/>
          <w:szCs w:val="20"/>
          <w:shd w:val="clear" w:color="auto" w:fill="FFFFFF"/>
        </w:rPr>
        <w:t>link</w:t>
      </w:r>
      <w:r w:rsidRPr="00D10C61">
        <w:rPr>
          <w:rFonts w:ascii="Open Sans" w:hAnsi="Open Sans" w:cs="Open Sans"/>
          <w:sz w:val="20"/>
          <w:szCs w:val="20"/>
          <w:shd w:val="clear" w:color="auto" w:fill="FFFFFF"/>
        </w:rPr>
        <w:t xml:space="preserve"> e, cumulativamente, manifestem seu voto no ato de realização da Assembleia.</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563F4170" w14:textId="77777777"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475DEFC5" w14:textId="77777777" w:rsidR="00E01E0D" w:rsidRPr="007A3B89" w:rsidRDefault="00E01E0D" w:rsidP="00C41816">
      <w:pPr>
        <w:pStyle w:val="Estilo"/>
        <w:jc w:val="both"/>
        <w:rPr>
          <w:rFonts w:ascii="Open Sans" w:hAnsi="Open Sans" w:cs="Open Sans"/>
          <w:sz w:val="20"/>
          <w:szCs w:val="20"/>
          <w:shd w:val="clear" w:color="auto" w:fill="FFFFFF"/>
        </w:rPr>
      </w:pPr>
    </w:p>
    <w:p w14:paraId="5E83B002" w14:textId="25E10F1F" w:rsidR="008C3134" w:rsidRPr="007A3B89" w:rsidRDefault="00FB0D24" w:rsidP="00E42B17">
      <w:pPr>
        <w:pStyle w:val="Estilo"/>
        <w:jc w:val="center"/>
        <w:rPr>
          <w:rFonts w:ascii="Open Sans" w:hAnsi="Open Sans" w:cs="Open Sans"/>
          <w:sz w:val="20"/>
          <w:szCs w:val="20"/>
        </w:rPr>
      </w:pPr>
      <w:r w:rsidRPr="007A3B89">
        <w:rPr>
          <w:rFonts w:ascii="Open Sans" w:hAnsi="Open Sans" w:cs="Open Sans"/>
          <w:sz w:val="20"/>
          <w:szCs w:val="20"/>
          <w:shd w:val="clear" w:color="auto" w:fill="FFFFFF"/>
        </w:rPr>
        <w:t xml:space="preserve">* * * * </w:t>
      </w:r>
    </w:p>
    <w:sectPr w:rsidR="008C3134" w:rsidRPr="007A3B89"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01C78" w14:textId="77777777" w:rsidR="00761A4B" w:rsidRDefault="00761A4B" w:rsidP="00421DD1">
      <w:r>
        <w:separator/>
      </w:r>
    </w:p>
  </w:endnote>
  <w:endnote w:type="continuationSeparator" w:id="0">
    <w:p w14:paraId="2B112645" w14:textId="77777777" w:rsidR="00761A4B" w:rsidRDefault="00761A4B" w:rsidP="00421DD1">
      <w:r>
        <w:continuationSeparator/>
      </w:r>
    </w:p>
  </w:endnote>
  <w:endnote w:type="continuationNotice" w:id="1">
    <w:p w14:paraId="326433F4" w14:textId="77777777" w:rsidR="00761A4B" w:rsidRDefault="00761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Interstate-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EndPr/>
    <w:sdtContent>
      <w:sdt>
        <w:sdtPr>
          <w:id w:val="-1769616900"/>
          <w:docPartObj>
            <w:docPartGallery w:val="Page Numbers (Top of Page)"/>
            <w:docPartUnique/>
          </w:docPartObj>
        </w:sdtPr>
        <w:sdtEndPr/>
        <w:sdtContent>
          <w:p w14:paraId="29033010" w14:textId="77777777" w:rsidR="00B667EE" w:rsidRDefault="0006628F"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C1E21" w14:textId="77777777" w:rsidR="00761A4B" w:rsidRDefault="00761A4B" w:rsidP="00421DD1">
      <w:r>
        <w:separator/>
      </w:r>
    </w:p>
  </w:footnote>
  <w:footnote w:type="continuationSeparator" w:id="0">
    <w:p w14:paraId="3FAFAADC" w14:textId="77777777" w:rsidR="00761A4B" w:rsidRDefault="00761A4B" w:rsidP="00421DD1">
      <w:r>
        <w:continuationSeparator/>
      </w:r>
    </w:p>
  </w:footnote>
  <w:footnote w:type="continuationNotice" w:id="1">
    <w:p w14:paraId="4EB697D9" w14:textId="77777777" w:rsidR="00761A4B" w:rsidRDefault="00761A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0D52" w14:textId="77777777" w:rsidR="00B667EE" w:rsidRDefault="0006628F" w:rsidP="00B667EE">
    <w:pPr>
      <w:pStyle w:val="Cabealho"/>
      <w:jc w:val="center"/>
    </w:pPr>
    <w:r>
      <w:rPr>
        <w:noProof/>
        <w:lang w:eastAsia="pt-BR"/>
      </w:rPr>
      <w:drawing>
        <wp:anchor distT="0" distB="0" distL="114300" distR="114300" simplePos="0" relativeHeight="251658240" behindDoc="1" locked="0" layoutInCell="1" allowOverlap="1" wp14:anchorId="0DD2AFAF" wp14:editId="66AA86CB">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6B07DF9F" w14:textId="77777777" w:rsidR="00B667EE" w:rsidRDefault="00761A4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772EB6"/>
    <w:multiLevelType w:val="hybridMultilevel"/>
    <w:tmpl w:val="CA54713A"/>
    <w:lvl w:ilvl="0" w:tplc="C06435DC">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77682B44"/>
    <w:multiLevelType w:val="hybridMultilevel"/>
    <w:tmpl w:val="A5BC9FA8"/>
    <w:lvl w:ilvl="0" w:tplc="E7067C64">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1697777766">
    <w:abstractNumId w:val="5"/>
  </w:num>
  <w:num w:numId="2" w16cid:durableId="1792627659">
    <w:abstractNumId w:val="8"/>
  </w:num>
  <w:num w:numId="3" w16cid:durableId="1443304533">
    <w:abstractNumId w:val="4"/>
    <w:lvlOverride w:ilvl="0">
      <w:lvl w:ilvl="0">
        <w:numFmt w:val="decimal"/>
        <w:lvlText w:val="%1."/>
        <w:lvlJc w:val="left"/>
      </w:lvl>
    </w:lvlOverride>
  </w:num>
  <w:num w:numId="4" w16cid:durableId="1086997611">
    <w:abstractNumId w:val="11"/>
    <w:lvlOverride w:ilvl="0">
      <w:lvl w:ilvl="0">
        <w:numFmt w:val="decimal"/>
        <w:lvlText w:val="%1."/>
        <w:lvlJc w:val="left"/>
      </w:lvl>
    </w:lvlOverride>
  </w:num>
  <w:num w:numId="5" w16cid:durableId="1703095638">
    <w:abstractNumId w:val="3"/>
    <w:lvlOverride w:ilvl="0">
      <w:lvl w:ilvl="0">
        <w:numFmt w:val="decimal"/>
        <w:lvlText w:val="%1."/>
        <w:lvlJc w:val="left"/>
      </w:lvl>
    </w:lvlOverride>
  </w:num>
  <w:num w:numId="6" w16cid:durableId="1872767490">
    <w:abstractNumId w:val="0"/>
  </w:num>
  <w:num w:numId="7" w16cid:durableId="1974745522">
    <w:abstractNumId w:val="1"/>
  </w:num>
  <w:num w:numId="8" w16cid:durableId="1473526506">
    <w:abstractNumId w:val="13"/>
  </w:num>
  <w:num w:numId="9" w16cid:durableId="1670862146">
    <w:abstractNumId w:val="9"/>
  </w:num>
  <w:num w:numId="10" w16cid:durableId="5520813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96209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5700076">
    <w:abstractNumId w:val="7"/>
  </w:num>
  <w:num w:numId="13" w16cid:durableId="193810728">
    <w:abstractNumId w:val="12"/>
  </w:num>
  <w:num w:numId="14" w16cid:durableId="1441099089">
    <w:abstractNumId w:val="6"/>
  </w:num>
  <w:num w:numId="15" w16cid:durableId="16509847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6426"/>
    <w:rsid w:val="00032FB4"/>
    <w:rsid w:val="000334DF"/>
    <w:rsid w:val="000604A2"/>
    <w:rsid w:val="0006628F"/>
    <w:rsid w:val="000728FB"/>
    <w:rsid w:val="00097D56"/>
    <w:rsid w:val="000B198B"/>
    <w:rsid w:val="000B2178"/>
    <w:rsid w:val="000B28B4"/>
    <w:rsid w:val="000B7506"/>
    <w:rsid w:val="000D2078"/>
    <w:rsid w:val="000D3F44"/>
    <w:rsid w:val="000D4080"/>
    <w:rsid w:val="000F505D"/>
    <w:rsid w:val="000F62F0"/>
    <w:rsid w:val="00100336"/>
    <w:rsid w:val="00107703"/>
    <w:rsid w:val="00107AB4"/>
    <w:rsid w:val="00130A34"/>
    <w:rsid w:val="00152103"/>
    <w:rsid w:val="0015308B"/>
    <w:rsid w:val="001626E6"/>
    <w:rsid w:val="001728A2"/>
    <w:rsid w:val="00172C61"/>
    <w:rsid w:val="00174178"/>
    <w:rsid w:val="00180328"/>
    <w:rsid w:val="00182879"/>
    <w:rsid w:val="001833FF"/>
    <w:rsid w:val="00184FC6"/>
    <w:rsid w:val="00193DF5"/>
    <w:rsid w:val="001A28E1"/>
    <w:rsid w:val="001B6CCE"/>
    <w:rsid w:val="001C3567"/>
    <w:rsid w:val="001C72A9"/>
    <w:rsid w:val="001D2B7F"/>
    <w:rsid w:val="001D5CBB"/>
    <w:rsid w:val="001E125A"/>
    <w:rsid w:val="001E3E7C"/>
    <w:rsid w:val="001F020C"/>
    <w:rsid w:val="00207A8F"/>
    <w:rsid w:val="002137BE"/>
    <w:rsid w:val="00236861"/>
    <w:rsid w:val="002408B2"/>
    <w:rsid w:val="0024169B"/>
    <w:rsid w:val="00262A56"/>
    <w:rsid w:val="00283472"/>
    <w:rsid w:val="00284A4D"/>
    <w:rsid w:val="00287D67"/>
    <w:rsid w:val="002B483B"/>
    <w:rsid w:val="002C5EA8"/>
    <w:rsid w:val="002D02F7"/>
    <w:rsid w:val="002E5EEA"/>
    <w:rsid w:val="002F6E67"/>
    <w:rsid w:val="00300504"/>
    <w:rsid w:val="00310DC6"/>
    <w:rsid w:val="0033167B"/>
    <w:rsid w:val="003330CB"/>
    <w:rsid w:val="0035004C"/>
    <w:rsid w:val="00351F1F"/>
    <w:rsid w:val="00352FD7"/>
    <w:rsid w:val="003854BB"/>
    <w:rsid w:val="003955DD"/>
    <w:rsid w:val="003A6F95"/>
    <w:rsid w:val="003B79C0"/>
    <w:rsid w:val="003D7443"/>
    <w:rsid w:val="003E46A9"/>
    <w:rsid w:val="003E7367"/>
    <w:rsid w:val="00407DC5"/>
    <w:rsid w:val="00412FF8"/>
    <w:rsid w:val="00420E3A"/>
    <w:rsid w:val="00421DD1"/>
    <w:rsid w:val="00440241"/>
    <w:rsid w:val="004404DE"/>
    <w:rsid w:val="004417DB"/>
    <w:rsid w:val="00444178"/>
    <w:rsid w:val="00444CCC"/>
    <w:rsid w:val="00445A73"/>
    <w:rsid w:val="00445B32"/>
    <w:rsid w:val="00461090"/>
    <w:rsid w:val="00461D0C"/>
    <w:rsid w:val="00473CF0"/>
    <w:rsid w:val="00477297"/>
    <w:rsid w:val="00481AC4"/>
    <w:rsid w:val="00483DFE"/>
    <w:rsid w:val="004B051C"/>
    <w:rsid w:val="004C0AF9"/>
    <w:rsid w:val="004C4CA8"/>
    <w:rsid w:val="004E3343"/>
    <w:rsid w:val="005004CF"/>
    <w:rsid w:val="0050100E"/>
    <w:rsid w:val="005350A6"/>
    <w:rsid w:val="00545A99"/>
    <w:rsid w:val="00550ECE"/>
    <w:rsid w:val="005614DB"/>
    <w:rsid w:val="005747B6"/>
    <w:rsid w:val="00576025"/>
    <w:rsid w:val="005956FF"/>
    <w:rsid w:val="0059614C"/>
    <w:rsid w:val="005A08C8"/>
    <w:rsid w:val="005B671D"/>
    <w:rsid w:val="005B76D0"/>
    <w:rsid w:val="005C019D"/>
    <w:rsid w:val="005E0C38"/>
    <w:rsid w:val="005F4380"/>
    <w:rsid w:val="005F43DF"/>
    <w:rsid w:val="005F778A"/>
    <w:rsid w:val="00607502"/>
    <w:rsid w:val="00616E44"/>
    <w:rsid w:val="006459D4"/>
    <w:rsid w:val="006501DC"/>
    <w:rsid w:val="00650D59"/>
    <w:rsid w:val="00653819"/>
    <w:rsid w:val="00662D2D"/>
    <w:rsid w:val="0066565B"/>
    <w:rsid w:val="006866FD"/>
    <w:rsid w:val="00690690"/>
    <w:rsid w:val="00691921"/>
    <w:rsid w:val="006C5150"/>
    <w:rsid w:val="006C7A91"/>
    <w:rsid w:val="006E6635"/>
    <w:rsid w:val="006F1735"/>
    <w:rsid w:val="00703F00"/>
    <w:rsid w:val="007116A2"/>
    <w:rsid w:val="00711F1A"/>
    <w:rsid w:val="00733E3A"/>
    <w:rsid w:val="00736439"/>
    <w:rsid w:val="0074072E"/>
    <w:rsid w:val="00743AC7"/>
    <w:rsid w:val="00744720"/>
    <w:rsid w:val="00752D9A"/>
    <w:rsid w:val="00754FAE"/>
    <w:rsid w:val="00761A4B"/>
    <w:rsid w:val="00784215"/>
    <w:rsid w:val="0079733C"/>
    <w:rsid w:val="007A3B89"/>
    <w:rsid w:val="007A575A"/>
    <w:rsid w:val="007B2A2E"/>
    <w:rsid w:val="007E6EBF"/>
    <w:rsid w:val="007F57D3"/>
    <w:rsid w:val="007F5A7D"/>
    <w:rsid w:val="007F75F2"/>
    <w:rsid w:val="008012BE"/>
    <w:rsid w:val="00803FCA"/>
    <w:rsid w:val="00807E95"/>
    <w:rsid w:val="008139B6"/>
    <w:rsid w:val="00840295"/>
    <w:rsid w:val="008603F6"/>
    <w:rsid w:val="0086322A"/>
    <w:rsid w:val="0087197C"/>
    <w:rsid w:val="00871DF6"/>
    <w:rsid w:val="00877F1F"/>
    <w:rsid w:val="00890ADF"/>
    <w:rsid w:val="00896EF0"/>
    <w:rsid w:val="008A1E03"/>
    <w:rsid w:val="008A7084"/>
    <w:rsid w:val="008C3134"/>
    <w:rsid w:val="00904CAD"/>
    <w:rsid w:val="0091013D"/>
    <w:rsid w:val="0091241E"/>
    <w:rsid w:val="009238FF"/>
    <w:rsid w:val="009459B7"/>
    <w:rsid w:val="009528BA"/>
    <w:rsid w:val="009620A7"/>
    <w:rsid w:val="009710B4"/>
    <w:rsid w:val="00971D69"/>
    <w:rsid w:val="00995B5A"/>
    <w:rsid w:val="009C0546"/>
    <w:rsid w:val="009C14A5"/>
    <w:rsid w:val="009D17C4"/>
    <w:rsid w:val="009E776C"/>
    <w:rsid w:val="009F41DB"/>
    <w:rsid w:val="009F55D3"/>
    <w:rsid w:val="009F6304"/>
    <w:rsid w:val="00A036BA"/>
    <w:rsid w:val="00A33A4A"/>
    <w:rsid w:val="00A62965"/>
    <w:rsid w:val="00A646AF"/>
    <w:rsid w:val="00A80260"/>
    <w:rsid w:val="00A84A69"/>
    <w:rsid w:val="00A964AD"/>
    <w:rsid w:val="00AA5DCD"/>
    <w:rsid w:val="00AA7020"/>
    <w:rsid w:val="00AB33CC"/>
    <w:rsid w:val="00AC3159"/>
    <w:rsid w:val="00AC51E1"/>
    <w:rsid w:val="00AC6D95"/>
    <w:rsid w:val="00AF1BF6"/>
    <w:rsid w:val="00AF1D2E"/>
    <w:rsid w:val="00AF29D9"/>
    <w:rsid w:val="00AF3ED7"/>
    <w:rsid w:val="00B0580D"/>
    <w:rsid w:val="00B250F3"/>
    <w:rsid w:val="00B26FBF"/>
    <w:rsid w:val="00B4515C"/>
    <w:rsid w:val="00B55E17"/>
    <w:rsid w:val="00B70208"/>
    <w:rsid w:val="00B715C6"/>
    <w:rsid w:val="00B87750"/>
    <w:rsid w:val="00BA27A0"/>
    <w:rsid w:val="00BA3A44"/>
    <w:rsid w:val="00BC2FE8"/>
    <w:rsid w:val="00BC543A"/>
    <w:rsid w:val="00BD7A6F"/>
    <w:rsid w:val="00BF0670"/>
    <w:rsid w:val="00BF7C0A"/>
    <w:rsid w:val="00C00D0D"/>
    <w:rsid w:val="00C01606"/>
    <w:rsid w:val="00C01C0E"/>
    <w:rsid w:val="00C02664"/>
    <w:rsid w:val="00C065E6"/>
    <w:rsid w:val="00C27A78"/>
    <w:rsid w:val="00C41816"/>
    <w:rsid w:val="00C42CED"/>
    <w:rsid w:val="00C80162"/>
    <w:rsid w:val="00C80210"/>
    <w:rsid w:val="00C823F1"/>
    <w:rsid w:val="00C96AD9"/>
    <w:rsid w:val="00C97EB7"/>
    <w:rsid w:val="00CA6105"/>
    <w:rsid w:val="00CB14EF"/>
    <w:rsid w:val="00CB2856"/>
    <w:rsid w:val="00CB432E"/>
    <w:rsid w:val="00CC0E5A"/>
    <w:rsid w:val="00CC3EC8"/>
    <w:rsid w:val="00CE23C9"/>
    <w:rsid w:val="00CF7875"/>
    <w:rsid w:val="00CF78BE"/>
    <w:rsid w:val="00D02935"/>
    <w:rsid w:val="00D1133E"/>
    <w:rsid w:val="00D30CA2"/>
    <w:rsid w:val="00D346CA"/>
    <w:rsid w:val="00D50CCC"/>
    <w:rsid w:val="00D52586"/>
    <w:rsid w:val="00D53209"/>
    <w:rsid w:val="00D60AC0"/>
    <w:rsid w:val="00D6332B"/>
    <w:rsid w:val="00D70DE5"/>
    <w:rsid w:val="00D73198"/>
    <w:rsid w:val="00D92C2E"/>
    <w:rsid w:val="00D96E5D"/>
    <w:rsid w:val="00DA1DD4"/>
    <w:rsid w:val="00DC62F5"/>
    <w:rsid w:val="00DC654E"/>
    <w:rsid w:val="00DF608D"/>
    <w:rsid w:val="00E01E0D"/>
    <w:rsid w:val="00E02B84"/>
    <w:rsid w:val="00E04800"/>
    <w:rsid w:val="00E309DB"/>
    <w:rsid w:val="00E3556E"/>
    <w:rsid w:val="00E42B17"/>
    <w:rsid w:val="00E44B39"/>
    <w:rsid w:val="00E457AF"/>
    <w:rsid w:val="00E466FF"/>
    <w:rsid w:val="00E542B2"/>
    <w:rsid w:val="00E547A4"/>
    <w:rsid w:val="00E55133"/>
    <w:rsid w:val="00E64DA8"/>
    <w:rsid w:val="00E90E14"/>
    <w:rsid w:val="00EA0716"/>
    <w:rsid w:val="00EC10DA"/>
    <w:rsid w:val="00ED0212"/>
    <w:rsid w:val="00ED0EE2"/>
    <w:rsid w:val="00ED45DF"/>
    <w:rsid w:val="00F04446"/>
    <w:rsid w:val="00F10B35"/>
    <w:rsid w:val="00F343EF"/>
    <w:rsid w:val="00F41120"/>
    <w:rsid w:val="00F52B1A"/>
    <w:rsid w:val="00F80A5F"/>
    <w:rsid w:val="00F83643"/>
    <w:rsid w:val="00F85F1F"/>
    <w:rsid w:val="00F91067"/>
    <w:rsid w:val="00FB0D24"/>
    <w:rsid w:val="00FB6B15"/>
    <w:rsid w:val="00FE292B"/>
    <w:rsid w:val="00FE2961"/>
    <w:rsid w:val="00FE3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semiHidden/>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uiPriority w:val="39"/>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445B32"/>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Reviso">
    <w:name w:val="Revision"/>
    <w:hidden/>
    <w:uiPriority w:val="99"/>
    <w:semiHidden/>
    <w:rsid w:val="00097D56"/>
    <w:rPr>
      <w:lang w:val="pt-BR"/>
    </w:rPr>
  </w:style>
  <w:style w:type="character" w:customStyle="1" w:styleId="PargrafodaListaChar">
    <w:name w:val="Parágrafo da Lista Char"/>
    <w:aliases w:val="Vitor Título Char,Vitor T’tulo Char"/>
    <w:link w:val="PargrafodaLista"/>
    <w:uiPriority w:val="34"/>
    <w:qFormat/>
    <w:locked/>
    <w:rsid w:val="00097D56"/>
    <w:rPr>
      <w:rFonts w:ascii="Calibri" w:eastAsiaTheme="minorHAnsi" w:hAnsi="Calibri" w:cs="Times New Roman"/>
      <w:sz w:val="22"/>
      <w:szCs w:val="22"/>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52565C418707D4AA9D5B20100C39FAD" ma:contentTypeVersion="16" ma:contentTypeDescription="Crie um novo documento." ma:contentTypeScope="" ma:versionID="36003173e39d823a860dd86e08427f29">
  <xsd:schema xmlns:xsd="http://www.w3.org/2001/XMLSchema" xmlns:xs="http://www.w3.org/2001/XMLSchema" xmlns:p="http://schemas.microsoft.com/office/2006/metadata/properties" xmlns:ns2="90be1033-61d5-46ad-ae3a-53f0d5f2e6d6" xmlns:ns3="bb6cd9ea-a165-46c7-8046-7d231703d635" targetNamespace="http://schemas.microsoft.com/office/2006/metadata/properties" ma:root="true" ma:fieldsID="ea3518192cdacaf93450030a0e646181" ns2:_="" ns3:_="">
    <xsd:import namespace="90be1033-61d5-46ad-ae3a-53f0d5f2e6d6"/>
    <xsd:import namespace="bb6cd9ea-a165-46c7-8046-7d231703d6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1033-61d5-46ad-ae3a-53f0d5f2e6d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162c6088-f40a-4906-9512-a51a679c9280}" ma:internalName="TaxCatchAll" ma:showField="CatchAllData" ma:web="90be1033-61d5-46ad-ae3a-53f0d5f2e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cd9ea-a165-46c7-8046-7d231703d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0be1033-61d5-46ad-ae3a-53f0d5f2e6d6">XYRVYRS7NR3H-414051584-634353</_dlc_DocId>
    <_dlc_DocIdUrl xmlns="90be1033-61d5-46ad-ae3a-53f0d5f2e6d6">
      <Url>https://contatofortesec.sharepoint.com/sites/Gestao/_layouts/15/DocIdRedir.aspx?ID=XYRVYRS7NR3H-414051584-634353</Url>
      <Description>XYRVYRS7NR3H-414051584-634353</Description>
    </_dlc_DocIdUrl>
    <TaxCatchAll xmlns="90be1033-61d5-46ad-ae3a-53f0d5f2e6d6" xsi:nil="true"/>
    <lcf76f155ced4ddcb4097134ff3c332f xmlns="bb6cd9ea-a165-46c7-8046-7d231703d6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5A2051-8595-4EB8-ACD9-62F9B80D6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1033-61d5-46ad-ae3a-53f0d5f2e6d6"/>
    <ds:schemaRef ds:uri="bb6cd9ea-a165-46c7-8046-7d23170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3.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4.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5.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90be1033-61d5-46ad-ae3a-53f0d5f2e6d6"/>
    <ds:schemaRef ds:uri="bb6cd9ea-a165-46c7-8046-7d231703d63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6549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Grupo Juridico Fortesec</dc:creator>
  <cp:keywords/>
  <dc:description/>
  <cp:lastModifiedBy>Marina Ricco</cp:lastModifiedBy>
  <cp:revision>3</cp:revision>
  <cp:lastPrinted>2022-06-30T19:51:00Z</cp:lastPrinted>
  <dcterms:created xsi:type="dcterms:W3CDTF">2022-06-30T17:55:00Z</dcterms:created>
  <dcterms:modified xsi:type="dcterms:W3CDTF">2022-06-30T19:51:00Z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0x010100252565C418707D4AA9D5B20100C39FAD</vt:lpwstr>
  </property>
  <property fmtid="{D5CDD505-2E9C-101B-9397-08002B2CF9AE}" pid="3" name="Order">
    <vt:r8>14159200</vt:r8>
  </property>
  <property fmtid="{D5CDD505-2E9C-101B-9397-08002B2CF9AE}" pid="4" name="_dlc_DocIdItemGuid">
    <vt:lpwstr>f17c2ea7-23c1-4ffe-9613-6659ab439cc3</vt:lpwstr>
  </property>
  <property fmtid="{D5CDD505-2E9C-101B-9397-08002B2CF9AE}" pid="5" name="MediaServiceImageTags">
    <vt:lpwstr/>
  </property>
</Properties>
</file>