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CF57FD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074424" w:rsidRPr="009C31D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457ª, 458ª, 459ª, 460ª, 461ª E 462ª</w:t>
      </w:r>
      <w:r w:rsidR="00074424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652161">
        <w:rPr>
          <w:rFonts w:ascii="Open Sans" w:hAnsi="Open Sans" w:cs="Open Sans"/>
          <w:b/>
          <w:bCs/>
          <w:caps/>
          <w:sz w:val="20"/>
          <w:szCs w:val="20"/>
        </w:rPr>
        <w:t>18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652161">
        <w:rPr>
          <w:rFonts w:ascii="Open Sans" w:hAnsi="Open Sans" w:cs="Open Sans"/>
          <w:b/>
          <w:sz w:val="20"/>
          <w:szCs w:val="20"/>
        </w:rPr>
        <w:t xml:space="preserve">ABRIL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F6C661" w14:textId="11740D11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>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presentação, </w:t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pela Emissora, dos atos praticados e das medidas adotadas pela Securitizadora no âmbito da </w:t>
      </w:r>
      <w:r>
        <w:rPr>
          <w:rFonts w:ascii="Open Sans" w:hAnsi="Open Sans" w:cs="Open Sans"/>
          <w:color w:val="000000" w:themeColor="text1"/>
          <w:sz w:val="20"/>
          <w:szCs w:val="20"/>
        </w:rPr>
        <w:t>administração do Patrimônio Separado,</w:t>
      </w:r>
      <w:r w:rsidRPr="00462AC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o que inclui, mas sem limitação, as eventuais medidas adotadas no âmbito da ação cautelar ajuizada pela Devedora e outras sociedades pertencentes ao seu grupo econômico e em trâmite na 2ª Vara Judicial da Comarca de Gramado / RS sob o nº 5001925-69.2023.8.21.0101</w:t>
      </w:r>
      <w:r w:rsidRPr="0076515E">
        <w:rPr>
          <w:rFonts w:ascii="Open Sans" w:hAnsi="Open Sans" w:cs="Open Sans"/>
          <w:sz w:val="20"/>
          <w:szCs w:val="20"/>
          <w:shd w:val="clear" w:color="auto" w:fill="FFFFFF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9F41FD8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A6D665B" w14:textId="3340B9EA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</w:t>
      </w:r>
      <w:r w:rsidRPr="00F75522">
        <w:rPr>
          <w:rFonts w:ascii="Open Sans" w:hAnsi="Open Sans" w:cs="Open Sans"/>
          <w:color w:val="000000" w:themeColor="text1"/>
          <w:sz w:val="20"/>
          <w:szCs w:val="20"/>
        </w:rPr>
        <w:t>ou não, da exigência da Recompra Total dos Créditos Imobiliários Frações Imobiliárias e declaração de vencimento antecipado da CCB (“</w:t>
      </w:r>
      <w:r w:rsidRPr="00E62513">
        <w:rPr>
          <w:rFonts w:ascii="Open Sans" w:hAnsi="Open Sans" w:cs="Open Sans"/>
          <w:color w:val="000000" w:themeColor="text1"/>
          <w:sz w:val="20"/>
          <w:szCs w:val="20"/>
          <w:u w:val="single"/>
        </w:rPr>
        <w:t>Recompra Total e Vencimento Antecipado</w:t>
      </w:r>
      <w:r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”), nos termos da Cláusula 6.7 do Contrato de Cessão e da Cláusula 10.2 da CCB, respectivamente, em virtude da ocorrência das Hipóteses de Recompra Total dos Créditos Imobiliários Frações Imobiliárias e dos Eventos de Vencimento Antecipado previstos nas </w:t>
      </w:r>
      <w:r w:rsidRP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Cláusulas 6.4(b) e 6.4(v) do Contrato de Cessão e nas Cláusulas 10.1(b) e 10.1(u) da CCB</w:t>
      </w:r>
      <w:r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, respectivamente, devido ao descumprimento, pela GTR, da obrigação pecuniária assumida na Cláusula 3.3 do Contrato de Cessão, correspondente à não realização de repasse de pagamentos de Créditos Imobiliários Frações Imobiliárias e de Créditos Imobiliários Cedidos Fiduciariamente recebidos em contas bancárias distintas da Conta Centralizadora, não sanada no prazo de 5 (cinco) Dias Úteis a contar da data em que tal obrigação se tornou devida, mesmo após o recebimento de reiteradas </w:t>
      </w:r>
      <w:r w:rsidRPr="00F7552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notificações enviadas pela Securitizadora, observado que, caso o risco de perecimento imediato dos direitos e bens vinculados ao Patrimônio Separado torne necessária a exigência, pela Emissora, da Recompra Total e Vencimento Antecipado anteriormente à realização da Assembleia, a eventual aprovação dos Titulares dos CRI dar-se-á em caráter retroativo e de ratificação;</w:t>
      </w:r>
    </w:p>
    <w:p w14:paraId="61FCA007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5B6BD9" w14:textId="66B1E34B" w:rsidR="00C403CD" w:rsidRDefault="00CC2561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r w:rsid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1C38AC">
        <w:rPr>
          <w:rFonts w:ascii="Open Sans" w:hAnsi="Open Sans" w:cs="Open Sans"/>
          <w:color w:val="000000" w:themeColor="text1"/>
          <w:sz w:val="20"/>
          <w:szCs w:val="20"/>
        </w:rPr>
        <w:t xml:space="preserve">caso </w:t>
      </w:r>
      <w:r w:rsidR="00F75522">
        <w:rPr>
          <w:rFonts w:ascii="Open Sans" w:hAnsi="Open Sans" w:cs="Open Sans"/>
          <w:color w:val="000000" w:themeColor="text1"/>
          <w:sz w:val="20"/>
          <w:szCs w:val="20"/>
        </w:rPr>
        <w:t xml:space="preserve">aprovado 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>o item (</w:t>
      </w:r>
      <w:proofErr w:type="spellStart"/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) acima, a aprovação, ou não: </w:t>
      </w:r>
      <w:r w:rsidR="00F75522" w:rsidRP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 do ajuizamento de ação de execução de título executivo extrajudicial em face da GTR e/ou dos Fiadores, com o objetivo de demandar o cumprimento das obrigações de pagar o Valor da Recompra Total (conforme definido no Contrato de Cessão) e o Valor de Liquidação da CCB por Vencimento Antecipado; </w:t>
      </w:r>
      <w:r w:rsidR="00F75522" w:rsidRP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 da excussão das Garantias; </w:t>
      </w:r>
      <w:r w:rsidR="00F75522" w:rsidRP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(c)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 da defesa da Securitizadora, na qualidade de administradora do Patrimônio Separado, no âmbito de eventual processo de recuperação judicial ou de falência da GTR e/ou de qualquer dos Fiadores; </w:t>
      </w:r>
      <w:r w:rsidR="00F75522" w:rsidRP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(d)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 da defesa da Securitizadora, na qualidade de administradora do Patrimônio Separado, no âmbito de eventual procedimento arbitral requerido pela GTR e/ou por qualquer dos Fiadores ou pela Securitizadora; e </w:t>
      </w:r>
      <w:r w:rsidR="00F75522" w:rsidRP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(e)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 xml:space="preserve"> caso seja identificada qualquer conduta criminosa por parte de qualquer dos sócios e/ou membros da administração da GTR e/ou por qualquer dos Fiadores e/ou por qualquer dos membros de seu grupo econômico, do pedido de instauração de inquérito policial, bem como da representação junto ao Ministério Público competente ou do ajuizamento de queixa-crime, observado que, caso o risco de perecimento imediato dos direitos e bens vinculados ao Patrimônio Separado torne necessária a adoção, pela Emissora, de qualquer das medidas acima listadas, anteriormente à realização da Assembleia, a eventual aprovação dos Titulares dos CRI dar-se-á em caráter retroativo e de ratificação;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8956BED" w14:textId="77777777" w:rsidR="00004972" w:rsidRDefault="00004972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C8D862" w14:textId="2C164F13" w:rsidR="00835B59" w:rsidRDefault="00835B59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="00B96C9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212B44">
        <w:rPr>
          <w:rFonts w:ascii="Open Sans" w:hAnsi="Open Sans" w:cs="Open Sans"/>
          <w:color w:val="000000" w:themeColor="text1"/>
          <w:sz w:val="20"/>
          <w:szCs w:val="20"/>
        </w:rPr>
        <w:t xml:space="preserve">caso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aprovado o item (</w:t>
      </w:r>
      <w:proofErr w:type="spellStart"/>
      <w:r w:rsidR="00B96C91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) acima, a aprovação, ou não, da contratação do </w:t>
      </w:r>
      <w:r w:rsidR="00B96C91" w:rsidRPr="008405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Escritório de Advocacia </w:t>
      </w:r>
      <w:r w:rsidR="00B96C91" w:rsidRPr="003B12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Sérgio Bermudes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assessor legal que irá representar </w:t>
      </w:r>
      <w:r w:rsidR="00B96C91" w:rsidRPr="0076515E">
        <w:rPr>
          <w:rFonts w:ascii="Open Sans" w:hAnsi="Open Sans" w:cs="Open Sans"/>
          <w:color w:val="000000" w:themeColor="text1"/>
          <w:sz w:val="20"/>
          <w:szCs w:val="20"/>
        </w:rPr>
        <w:t>a Emissora, na qualidade de administradora do Patrimônio Separado, n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os atos indicados nos itens (</w:t>
      </w:r>
      <w:proofErr w:type="spellStart"/>
      <w:r w:rsidR="00B96C91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B96C91">
        <w:rPr>
          <w:rFonts w:ascii="Open Sans" w:hAnsi="Open Sans" w:cs="Open Sans"/>
          <w:color w:val="000000" w:themeColor="text1"/>
          <w:sz w:val="20"/>
          <w:szCs w:val="20"/>
        </w:rPr>
        <w:t>) e (</w:t>
      </w:r>
      <w:proofErr w:type="spellStart"/>
      <w:r w:rsidR="00B96C91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) acima, conforme </w:t>
      </w:r>
      <w:r w:rsidR="00B96C91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proposta de honorários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constante d</w:t>
      </w:r>
      <w:r w:rsidR="00B96C91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="00B96C91" w:rsidRPr="00146305">
        <w:rPr>
          <w:rFonts w:ascii="Open Sans" w:hAnsi="Open Sans" w:cs="Open Sans"/>
          <w:color w:val="000000" w:themeColor="text1"/>
          <w:sz w:val="20"/>
          <w:szCs w:val="20"/>
        </w:rPr>
        <w:t>Anexo I</w:t>
      </w:r>
      <w:r w:rsidR="00B96C91" w:rsidRPr="00690A5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46305">
        <w:rPr>
          <w:rFonts w:ascii="Open Sans" w:hAnsi="Open Sans" w:cs="Open Sans"/>
          <w:color w:val="000000" w:themeColor="text1"/>
          <w:sz w:val="20"/>
          <w:szCs w:val="20"/>
        </w:rPr>
        <w:t>ao Edital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B96C91" w:rsidRPr="00D31B8A">
        <w:rPr>
          <w:rFonts w:ascii="Open Sans" w:hAnsi="Open Sans" w:cs="Open Sans"/>
          <w:color w:val="000000" w:themeColor="text1"/>
          <w:sz w:val="20"/>
          <w:szCs w:val="20"/>
        </w:rPr>
        <w:t xml:space="preserve">observado que,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caso o risco de perecimento imediato dos direitos e bens vinculados ao Patrimônio Separado torne necessária a adoção, pela Emissora, de qualquer das medidas listadas no item (</w:t>
      </w:r>
      <w:proofErr w:type="spellStart"/>
      <w:r w:rsidR="00B96C91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B96C91">
        <w:rPr>
          <w:rFonts w:ascii="Open Sans" w:hAnsi="Open Sans" w:cs="Open Sans"/>
          <w:color w:val="000000" w:themeColor="text1"/>
          <w:sz w:val="20"/>
          <w:szCs w:val="20"/>
        </w:rPr>
        <w:t>) acima, anteriormente à realização da Assembleia</w:t>
      </w:r>
      <w:r w:rsidR="00B96C91" w:rsidRPr="00D31B8A">
        <w:rPr>
          <w:rFonts w:ascii="Open Sans" w:hAnsi="Open Sans" w:cs="Open Sans"/>
          <w:color w:val="000000" w:themeColor="text1"/>
          <w:sz w:val="20"/>
          <w:szCs w:val="20"/>
        </w:rPr>
        <w:t>, a eventual aprovação dos Titulares dos CRI dar-se-á em caráter retroativo e de ratificação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2B61F82" w14:textId="77777777" w:rsidR="00212B44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421DCA6" w14:textId="7CD7D71E" w:rsidR="00835B59" w:rsidRDefault="00835B59" w:rsidP="00835B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F6491EE" w14:textId="503F575D" w:rsidR="00FA1DE4" w:rsidRDefault="00FA1DE4" w:rsidP="00835B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A9A90A9" w14:textId="56AC68A1" w:rsidR="00FA1DE4" w:rsidRDefault="00FA1DE4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5B04F2A0" w14:textId="1C671DF0" w:rsidR="00C34EBD" w:rsidRPr="00C34EBD" w:rsidRDefault="00C34EBD" w:rsidP="00C34EBD">
      <w:pPr>
        <w:spacing w:line="276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34EB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 w:rsidRPr="00C34EB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C34EB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ou não, de autorização prévia para eventual contratação, a exclusivo critério da Securitizadora: </w:t>
      </w:r>
      <w:r w:rsidR="00B96C91" w:rsidRPr="009F74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B96C9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</w:t>
      </w:r>
      <w:r w:rsidR="00B96C91" w:rsidRPr="009F74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 de assessor legal com notórios conhecimento e experiência para eventuais pleitos de natureza criminal que se façam necessários; e </w:t>
      </w:r>
      <w:r w:rsidR="00B96C91" w:rsidRPr="000D523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B96C9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</w:t>
      </w:r>
      <w:r w:rsidR="00B96C91" w:rsidRPr="000D523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)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de empresa especializada em serviços de investigação patrimonial e de eventuais não-conformidades relacionadas à Cedente e aos Fiadores com notória experiência;</w:t>
      </w:r>
    </w:p>
    <w:p w14:paraId="78D8AD2B" w14:textId="77777777" w:rsidR="001C38AC" w:rsidRDefault="001C38AC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B783133" w14:textId="77777777" w:rsidR="001C38AC" w:rsidRPr="007A3B89" w:rsidRDefault="001C38AC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D043EA1" w14:textId="77777777" w:rsidR="001C38AC" w:rsidRPr="007A3B89" w:rsidRDefault="001C38AC" w:rsidP="001C38AC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E600C8" w14:textId="77777777" w:rsidR="001C38AC" w:rsidRDefault="001C38AC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022E6F5" w14:textId="1E6B9AE1" w:rsidR="00212B44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AC487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="00E757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C487E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B96C91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do procedimento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 xml:space="preserve">de prestação de contas referentes às despesas incorridas na administração e na defesa do Patrimônio Separado </w:t>
      </w:r>
      <w:r w:rsidR="00B96C91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previsto </w:t>
      </w:r>
      <w:r w:rsidR="00B96C91" w:rsidRPr="00146305">
        <w:rPr>
          <w:rFonts w:ascii="Open Sans" w:hAnsi="Open Sans" w:cs="Open Sans"/>
          <w:color w:val="000000" w:themeColor="text1"/>
          <w:sz w:val="20"/>
          <w:szCs w:val="20"/>
        </w:rPr>
        <w:t>no Anexo II</w:t>
      </w:r>
      <w:r w:rsidR="00B96C91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46305">
        <w:rPr>
          <w:rFonts w:ascii="Open Sans" w:hAnsi="Open Sans" w:cs="Open Sans"/>
          <w:color w:val="000000" w:themeColor="text1"/>
          <w:sz w:val="20"/>
          <w:szCs w:val="20"/>
        </w:rPr>
        <w:t>ao Edital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6032B47" w14:textId="77777777" w:rsidR="00212B44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2A040AD" w14:textId="77777777" w:rsidR="00212B44" w:rsidRPr="007A3B89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8DDE651" w14:textId="77777777" w:rsidR="00212B44" w:rsidRPr="007A3B89" w:rsidRDefault="00212B44" w:rsidP="00212B44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3D9977A" w14:textId="77777777" w:rsidR="00212B44" w:rsidRPr="007A3B89" w:rsidRDefault="00212B44" w:rsidP="00212B4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C7127A6" w14:textId="0DB74926" w:rsidR="00570E9C" w:rsidRDefault="00570E9C" w:rsidP="00570E9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="00E757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004972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B96C91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da 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B96C91" w:rsidRPr="00546C8F">
        <w:rPr>
          <w:rFonts w:ascii="Open Sans" w:hAnsi="Open Sans" w:cs="Open Sans"/>
          <w:color w:val="000000" w:themeColor="text1"/>
          <w:sz w:val="20"/>
          <w:szCs w:val="20"/>
        </w:rPr>
        <w:t>, inclusive, mas sem limitação, o ajuizamento de ação de execução de qualquer dos Documentos da Operação, e/ou a excussão de qualquer das Garantias</w:t>
      </w:r>
      <w:r w:rsidR="00B96C91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C0AEF42" w14:textId="77777777" w:rsidR="00570E9C" w:rsidRDefault="00570E9C" w:rsidP="00570E9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A899CA8" w14:textId="77777777" w:rsidR="00570E9C" w:rsidRPr="007A3B89" w:rsidRDefault="00570E9C" w:rsidP="00570E9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C4B9F29" w14:textId="77777777" w:rsidR="00570E9C" w:rsidRPr="007A3B89" w:rsidRDefault="00570E9C" w:rsidP="00570E9C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D9446D" w14:textId="77777777" w:rsidR="00212B44" w:rsidRPr="007A3B89" w:rsidRDefault="00212B44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E3AD142" w:rsidR="00FB0D24" w:rsidRPr="00914F1C" w:rsidRDefault="00FB0D24" w:rsidP="0041488C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74424" w:rsidRPr="00074424">
        <w:rPr>
          <w:rFonts w:ascii="Open Sans" w:hAnsi="Open Sans" w:cs="Open Sans"/>
          <w:sz w:val="20"/>
          <w:szCs w:val="20"/>
        </w:rPr>
        <w:t xml:space="preserve">457ª, 458ª, 459ª, 460ª, 461ª </w:t>
      </w:r>
      <w:r w:rsidR="00074424">
        <w:rPr>
          <w:rFonts w:ascii="Open Sans" w:hAnsi="Open Sans" w:cs="Open Sans"/>
          <w:sz w:val="20"/>
          <w:szCs w:val="20"/>
        </w:rPr>
        <w:t>e</w:t>
      </w:r>
      <w:r w:rsidR="00074424" w:rsidRPr="00074424">
        <w:rPr>
          <w:rFonts w:ascii="Open Sans" w:hAnsi="Open Sans" w:cs="Open Sans"/>
          <w:sz w:val="20"/>
          <w:szCs w:val="20"/>
        </w:rPr>
        <w:t xml:space="preserve"> 462ª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07442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457ª, 458ª, 459ª, 460ª, 461ª e 462ª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46852" w:rsidRPr="00371E44">
        <w:rPr>
          <w:rFonts w:ascii="Open Sans" w:hAnsi="Open Sans" w:cs="Open Sans"/>
          <w:sz w:val="20"/>
          <w:szCs w:val="20"/>
        </w:rPr>
        <w:t>15</w:t>
      </w:r>
      <w:r w:rsidR="007370A4" w:rsidRPr="00371E44">
        <w:rPr>
          <w:rFonts w:ascii="Open Sans" w:hAnsi="Open Sans" w:cs="Open Sans"/>
          <w:sz w:val="20"/>
          <w:szCs w:val="20"/>
        </w:rPr>
        <w:t xml:space="preserve"> de </w:t>
      </w:r>
      <w:r w:rsidR="00C46852" w:rsidRPr="00371E44">
        <w:rPr>
          <w:rFonts w:ascii="Open Sans" w:hAnsi="Open Sans" w:cs="Open Sans"/>
          <w:sz w:val="20"/>
          <w:szCs w:val="20"/>
        </w:rPr>
        <w:t>julho</w:t>
      </w:r>
      <w:r w:rsidR="007370A4" w:rsidRPr="00371E44">
        <w:rPr>
          <w:rFonts w:ascii="Open Sans" w:hAnsi="Open Sans" w:cs="Open Sans"/>
          <w:sz w:val="20"/>
          <w:szCs w:val="20"/>
        </w:rPr>
        <w:t xml:space="preserve"> de 202</w:t>
      </w:r>
      <w:r w:rsidR="00C46852" w:rsidRPr="00371E44">
        <w:rPr>
          <w:rFonts w:ascii="Open Sans" w:hAnsi="Open Sans" w:cs="Open Sans"/>
          <w:sz w:val="20"/>
          <w:szCs w:val="20"/>
        </w:rPr>
        <w:t>0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41488C" w:rsidRPr="00371E44">
        <w:rPr>
          <w:rFonts w:ascii="Open Sans" w:hAnsi="Open Sans" w:cs="Open Sans"/>
          <w:sz w:val="20"/>
          <w:szCs w:val="20"/>
        </w:rPr>
        <w:t>Simplific</w:t>
      </w:r>
      <w:proofErr w:type="spellEnd"/>
      <w:r w:rsidR="0041488C" w:rsidRPr="00371E4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1488C" w:rsidRPr="00371E44">
        <w:rPr>
          <w:rFonts w:ascii="Open Sans" w:hAnsi="Open Sans" w:cs="Open Sans"/>
          <w:sz w:val="20"/>
          <w:szCs w:val="20"/>
        </w:rPr>
        <w:t>Pavarini</w:t>
      </w:r>
      <w:proofErr w:type="spellEnd"/>
      <w:r w:rsidR="0041488C" w:rsidRPr="00371E44">
        <w:rPr>
          <w:rFonts w:ascii="Open Sans" w:hAnsi="Open Sans" w:cs="Open Sans"/>
          <w:sz w:val="20"/>
          <w:szCs w:val="20"/>
        </w:rPr>
        <w:t xml:space="preserve"> Distribuidora </w:t>
      </w:r>
      <w:r w:rsidR="003C64B4" w:rsidRPr="00371E44">
        <w:rPr>
          <w:rFonts w:ascii="Open Sans" w:hAnsi="Open Sans" w:cs="Open Sans"/>
          <w:sz w:val="20"/>
          <w:szCs w:val="20"/>
        </w:rPr>
        <w:t>d</w:t>
      </w:r>
      <w:r w:rsidR="0041488C" w:rsidRPr="00371E44">
        <w:rPr>
          <w:rFonts w:ascii="Open Sans" w:hAnsi="Open Sans" w:cs="Open Sans"/>
          <w:sz w:val="20"/>
          <w:szCs w:val="20"/>
        </w:rPr>
        <w:t xml:space="preserve">e Títulos </w:t>
      </w:r>
      <w:r w:rsidR="003C64B4" w:rsidRPr="00371E44">
        <w:rPr>
          <w:rFonts w:ascii="Open Sans" w:hAnsi="Open Sans" w:cs="Open Sans"/>
          <w:sz w:val="20"/>
          <w:szCs w:val="20"/>
        </w:rPr>
        <w:t>e</w:t>
      </w:r>
      <w:r w:rsidR="0041488C" w:rsidRPr="00371E44">
        <w:rPr>
          <w:rFonts w:ascii="Open Sans" w:hAnsi="Open Sans" w:cs="Open Sans"/>
          <w:sz w:val="20"/>
          <w:szCs w:val="20"/>
        </w:rPr>
        <w:t xml:space="preserve"> Valores Mobiliários Ltda., sociedade limitada empresária, atuando por sua filial na Cidade de São Paulo, Estado de São Paulo, na Rua Joaquim Floriano</w:t>
      </w:r>
      <w:r w:rsidR="0041488C" w:rsidRPr="0041488C">
        <w:rPr>
          <w:rFonts w:ascii="Open Sans" w:hAnsi="Open Sans" w:cs="Open Sans"/>
          <w:sz w:val="20"/>
          <w:szCs w:val="20"/>
        </w:rPr>
        <w:t xml:space="preserve">, nº 466, bloco B, Conj, 1401, CEP 04534-002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5B3D" w14:textId="77777777" w:rsidR="00C305B1" w:rsidRDefault="00C305B1" w:rsidP="00421DD1">
      <w:r>
        <w:separator/>
      </w:r>
    </w:p>
  </w:endnote>
  <w:endnote w:type="continuationSeparator" w:id="0">
    <w:p w14:paraId="4549F356" w14:textId="77777777" w:rsidR="00C305B1" w:rsidRDefault="00C305B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B667EE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E330" w14:textId="77777777" w:rsidR="00C305B1" w:rsidRDefault="00C305B1" w:rsidP="00421DD1">
      <w:r>
        <w:separator/>
      </w:r>
    </w:p>
  </w:footnote>
  <w:footnote w:type="continuationSeparator" w:id="0">
    <w:p w14:paraId="0992E69B" w14:textId="77777777" w:rsidR="00C305B1" w:rsidRDefault="00C305B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B667EE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6"/>
  </w:num>
  <w:num w:numId="2" w16cid:durableId="517040810">
    <w:abstractNumId w:val="9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3"/>
  </w:num>
  <w:num w:numId="9" w16cid:durableId="1076433941">
    <w:abstractNumId w:val="10"/>
  </w:num>
  <w:num w:numId="10" w16cid:durableId="1870993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8"/>
  </w:num>
  <w:num w:numId="13" w16cid:durableId="2060321044">
    <w:abstractNumId w:val="12"/>
  </w:num>
  <w:num w:numId="14" w16cid:durableId="17395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7"/>
  </w:num>
  <w:num w:numId="16" w16cid:durableId="174032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3" ma:contentTypeDescription="Criar um novo documento." ma:contentTypeScope="" ma:versionID="df7ad4ca4b2f80f5acd4b2dc0090b626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67f1b8c318f1515a1e37afa7dbe7aef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HYRCNR5SWDYV-532882092-23830</_dlc_DocId>
    <_dlc_DocIdUrl xmlns="b9360862-552f-4963-8e0f-4f94fc1c70f6">
      <Url>https://contatofortesec.sharepoint.com/sites/Controledeobrigaes/_layouts/15/DocIdRedir.aspx?ID=HYRCNR5SWDYV-532882092-23830</Url>
      <Description>HYRCNR5SWDYV-532882092-23830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2385B1-2B39-4A62-981F-AAEDE679A9E0}"/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82</cp:revision>
  <cp:lastPrinted>2023-03-29T19:12:00Z</cp:lastPrinted>
  <dcterms:created xsi:type="dcterms:W3CDTF">2022-09-20T22:13:00Z</dcterms:created>
  <dcterms:modified xsi:type="dcterms:W3CDTF">2023-03-29T19:12:00Z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716c3833-2351-4e6e-96d7-4d307a8ad419</vt:lpwstr>
  </property>
  <property fmtid="{D5CDD505-2E9C-101B-9397-08002B2CF9AE}" pid="5" name="MediaServiceImageTags">
    <vt:lpwstr/>
  </property>
</Properties>
</file>