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98D879F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EB5930" w:rsidRPr="00DC519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563ª, 564ª, 565ª, 566ª, 567ª, 568ª, 569ª, 570ª, 571ª, 572ª, 573ª E 574ª</w:t>
      </w:r>
      <w:r w:rsidR="00EB5930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D323C9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CD2E62">
        <w:rPr>
          <w:rFonts w:ascii="Open Sans" w:hAnsi="Open Sans" w:cs="Open Sans"/>
          <w:b/>
          <w:bCs/>
          <w:caps/>
          <w:sz w:val="20"/>
          <w:szCs w:val="20"/>
        </w:rPr>
        <w:t>16</w:t>
      </w:r>
      <w:r w:rsidR="00D323C9">
        <w:rPr>
          <w:rFonts w:ascii="Open Sans" w:hAnsi="Open Sans" w:cs="Open Sans"/>
          <w:b/>
          <w:bCs/>
          <w:caps/>
          <w:sz w:val="20"/>
          <w:szCs w:val="20"/>
        </w:rPr>
        <w:t xml:space="preserve"> DE NOVEMBRO</w:t>
      </w:r>
      <w:r w:rsidR="00084825">
        <w:rPr>
          <w:rFonts w:ascii="Open Sans" w:hAnsi="Open Sans" w:cs="Open Sans"/>
          <w:b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11627A24" w14:textId="77777777" w:rsidR="00EC4BEA" w:rsidRDefault="00EC4BEA" w:rsidP="00D3779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07F72CC" w14:textId="77777777" w:rsidR="00D37798" w:rsidRPr="007A3B89" w:rsidRDefault="00D37798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EA64AC9" w14:textId="738723A5" w:rsidR="00181B45" w:rsidRDefault="00F75522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D713F0" w:rsidRPr="00C82B7F">
        <w:rPr>
          <w:rFonts w:ascii="Open Sans" w:hAnsi="Open Sans" w:cs="Open Sans"/>
          <w:color w:val="000000" w:themeColor="text1"/>
          <w:sz w:val="20"/>
          <w:szCs w:val="20"/>
        </w:rPr>
        <w:t>a revogação de todas as deliberações aprovadas na Assembleia Geral de Titulares dos CRI realizada em 18 de outubro de 2023</w:t>
      </w:r>
      <w:r w:rsidR="00EB5930" w:rsidRPr="00D226A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DF6C661" w14:textId="4C8FF6BB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3EDC2D" w14:textId="77777777" w:rsidR="005164C2" w:rsidRDefault="005164C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0316DC8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B7DE02E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6E45E47" w14:textId="4F9274CA" w:rsidR="00181B45" w:rsidRDefault="00F75522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</w:rPr>
        <w:t xml:space="preserve">a concessão de </w:t>
      </w:r>
      <w:r w:rsidR="008E3FC1" w:rsidRPr="00444672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waiver </w:t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</w:rPr>
        <w:t xml:space="preserve">à Prime Foz e aos Fiadores no sentido de a Securitizadora sustar os efeitos do Vencimento Antecipado das Debêntures e a Recompra Total dos Créditos Imobiliários Frações Imobiliárias, declarado e exigido, respectivamente, em 05 de maio de 2023, conforme deliberado na Assembleia Geral de 03 de maio de 2023, assim como de </w:t>
      </w:r>
      <w:r w:rsidR="008E3FC1" w:rsidRPr="00444672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waiver </w:t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</w:rPr>
        <w:t xml:space="preserve">à Prime Foz e aos Fiadores por eventuais outros descumprimentos de obrigações previstas na </w:t>
      </w:r>
      <w:r w:rsidR="0006586A">
        <w:rPr>
          <w:rFonts w:ascii="Open Sans" w:hAnsi="Open Sans" w:cs="Open Sans"/>
          <w:color w:val="000000" w:themeColor="text1"/>
          <w:sz w:val="20"/>
          <w:szCs w:val="20"/>
        </w:rPr>
        <w:t>Escritura de Emissão de Debêntures</w:t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</w:rPr>
        <w:t xml:space="preserve"> e no Termo de Securitização incorridos em data anterior à data de realização da Assembleia</w:t>
      </w:r>
      <w:r w:rsidR="008E3FC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Concessão de </w:t>
      </w:r>
      <w:r w:rsidR="008E3FC1" w:rsidRPr="00444672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Waiver</w:t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</w:rPr>
        <w:t xml:space="preserve">”), que apenas produzirá efeitos se e quando houver o reconhecimento, pela Prime Foz, do caráter extraconcursal dos créditos pertencentes à </w:t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Securitizadora em face da Prime Foz, no âmbito da Emissão, mediante juntada de petição, em até 5 (cinco) dias a contar da realização da assembleia, nos autos da Recuperação Judicial, informando a sua anuência a respeito do caráter extraconcursal dos referidos créditos e manifestando a desistência de todos os pedidos e/ou recursos interpostos para questionar o caráter extraconcursal, nos termos do artigo 125 do Código Civil (“</w:t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  <w:u w:val="single"/>
        </w:rPr>
        <w:t>Condição Suspensiva 1</w:t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</w:rPr>
        <w:t xml:space="preserve">”). O </w:t>
      </w:r>
      <w:r w:rsidR="008E3FC1" w:rsidRPr="00444672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waiver </w:t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</w:rPr>
        <w:t xml:space="preserve">relacionado </w:t>
      </w:r>
      <w:r w:rsidR="008E3FC1">
        <w:rPr>
          <w:rFonts w:ascii="Open Sans" w:hAnsi="Open Sans" w:cs="Open Sans"/>
          <w:color w:val="000000" w:themeColor="text1"/>
          <w:sz w:val="20"/>
          <w:szCs w:val="20"/>
        </w:rPr>
        <w:t>à</w:t>
      </w:r>
      <w:r w:rsidR="008E3FC1" w:rsidRPr="00444672">
        <w:rPr>
          <w:rFonts w:ascii="Open Sans" w:hAnsi="Open Sans" w:cs="Open Sans"/>
          <w:color w:val="000000" w:themeColor="text1"/>
          <w:sz w:val="20"/>
          <w:szCs w:val="20"/>
        </w:rPr>
        <w:t xml:space="preserve"> sustação dos efeitos Vencimento Antecipado das Debêntures e a Recompra Total dos Créditos Imobiliários Frações Imobiliárias será imediatamente cancelado caso haja descumprimento de qualquer das obrigações pecuniárias previstas na Escritura de Emissão de Debêntures e/ou no Termo de Securitização</w:t>
      </w:r>
      <w:r w:rsidR="00EB593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1FCA007" w14:textId="1201A416" w:rsidR="00F75522" w:rsidRDefault="00F75522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E854EB" w14:textId="77777777" w:rsidR="00E141B6" w:rsidRPr="00A33A4A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E0A977F" w14:textId="6536C909" w:rsidR="00EB5930" w:rsidRDefault="00E141B6" w:rsidP="00EB5930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(iii)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7E6E49">
        <w:rPr>
          <w:rFonts w:ascii="Open Sans" w:hAnsi="Open Sans" w:cs="Open Sans"/>
          <w:color w:val="000000" w:themeColor="text1"/>
          <w:sz w:val="20"/>
          <w:szCs w:val="20"/>
        </w:rPr>
        <w:t xml:space="preserve">se aprovado o item (ii) acima, </w:t>
      </w:r>
      <w:r w:rsidR="007E6E49" w:rsidRPr="6E60D136">
        <w:rPr>
          <w:rFonts w:ascii="Open Sans" w:hAnsi="Open Sans" w:cs="Open Sans"/>
          <w:color w:val="000000" w:themeColor="text1"/>
          <w:sz w:val="20"/>
          <w:szCs w:val="20"/>
        </w:rPr>
        <w:t xml:space="preserve">a substituição do Anexo II ao Termo de Securitização pelo </w:t>
      </w:r>
      <w:r w:rsidR="007E6E49" w:rsidRPr="6E60D136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 w:rsidR="007E6E49" w:rsidRPr="6E60D136">
        <w:rPr>
          <w:rFonts w:ascii="Open Sans" w:hAnsi="Open Sans" w:cs="Open Sans"/>
          <w:color w:val="000000" w:themeColor="text1"/>
          <w:sz w:val="20"/>
          <w:szCs w:val="20"/>
        </w:rPr>
        <w:t xml:space="preserve"> ao Edital</w:t>
      </w:r>
      <w:r w:rsidR="007E6E49">
        <w:rPr>
          <w:rFonts w:ascii="Open Sans" w:hAnsi="Open Sans" w:cs="Open Sans"/>
          <w:color w:val="000000" w:themeColor="text1"/>
          <w:sz w:val="20"/>
          <w:szCs w:val="20"/>
        </w:rPr>
        <w:t xml:space="preserve"> (disponível no link </w:t>
      </w:r>
      <w:hyperlink r:id="rId12" w:history="1">
        <w:r w:rsidR="007E6E49" w:rsidRPr="00717F8B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 w:rsidR="007E6E49">
        <w:rPr>
          <w:rFonts w:ascii="Open Sans" w:hAnsi="Open Sans" w:cs="Open Sans"/>
          <w:color w:val="000000" w:themeColor="text1"/>
          <w:sz w:val="20"/>
          <w:szCs w:val="20"/>
        </w:rPr>
        <w:t xml:space="preserve">) </w:t>
      </w:r>
      <w:r w:rsidR="007E6E49" w:rsidRPr="6E60D136">
        <w:rPr>
          <w:rFonts w:ascii="Open Sans" w:hAnsi="Open Sans" w:cs="Open Sans"/>
          <w:color w:val="000000" w:themeColor="text1"/>
          <w:sz w:val="20"/>
          <w:szCs w:val="20"/>
        </w:rPr>
        <w:t xml:space="preserve">e, consequentemente: </w:t>
      </w:r>
      <w:r w:rsidR="007E6E49" w:rsidRPr="6E60D13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7E6E4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iii</w:t>
      </w:r>
      <w:r w:rsidR="007E6E49" w:rsidRPr="6E60D13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.</w:t>
      </w:r>
      <w:r w:rsidR="007E6E4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7E6E49" w:rsidRPr="6E60D13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="007E6E49" w:rsidRPr="6E60D13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7E6E49">
        <w:rPr>
          <w:rFonts w:ascii="Open Sans" w:hAnsi="Open Sans" w:cs="Open Sans"/>
          <w:color w:val="000000" w:themeColor="text1"/>
          <w:sz w:val="20"/>
          <w:szCs w:val="20"/>
        </w:rPr>
        <w:t xml:space="preserve">a concessão de carência para o pagamento de amortização e juros das parcelas de abril (inclusive) de 2023 a outubro (inclusive) de 2023 </w:t>
      </w:r>
      <w:r w:rsidR="007E6E49" w:rsidRPr="2521B75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7E6E4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iii</w:t>
      </w:r>
      <w:r w:rsidR="007E6E49" w:rsidRPr="2521B75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.</w:t>
      </w:r>
      <w:r w:rsidR="007E6E4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7E6E49" w:rsidRPr="2521B75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="007E6E49" w:rsidRPr="2521B759">
        <w:rPr>
          <w:rFonts w:ascii="Open Sans" w:hAnsi="Open Sans" w:cs="Open Sans"/>
          <w:color w:val="000000" w:themeColor="text1"/>
          <w:sz w:val="20"/>
          <w:szCs w:val="20"/>
        </w:rPr>
        <w:t xml:space="preserve"> a concessão de carência para o pagamento das Amortizações Programadas dos CRI nas parcelas vincendas no </w:t>
      </w:r>
      <w:r w:rsidR="007E6E49">
        <w:rPr>
          <w:rFonts w:ascii="Open Sans" w:hAnsi="Open Sans" w:cs="Open Sans"/>
          <w:color w:val="000000" w:themeColor="text1"/>
          <w:sz w:val="20"/>
          <w:szCs w:val="20"/>
        </w:rPr>
        <w:t>mês d</w:t>
      </w:r>
      <w:r w:rsidR="007E6E49" w:rsidRPr="2521B759">
        <w:rPr>
          <w:rFonts w:ascii="Open Sans" w:hAnsi="Open Sans" w:cs="Open Sans"/>
          <w:color w:val="000000" w:themeColor="text1"/>
          <w:sz w:val="20"/>
          <w:szCs w:val="20"/>
        </w:rPr>
        <w:t>e novembro de 2023</w:t>
      </w:r>
      <w:r w:rsidR="007E6E49">
        <w:rPr>
          <w:rFonts w:ascii="Open Sans" w:hAnsi="Open Sans" w:cs="Open Sans"/>
          <w:color w:val="000000" w:themeColor="text1"/>
          <w:sz w:val="20"/>
          <w:szCs w:val="20"/>
        </w:rPr>
        <w:t xml:space="preserve"> e dezembro de 2023</w:t>
      </w:r>
      <w:r w:rsidR="007E6E49" w:rsidRPr="2521B759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="007E6E49">
        <w:rPr>
          <w:rFonts w:ascii="Open Sans" w:hAnsi="Open Sans" w:cs="Open Sans"/>
          <w:color w:val="000000" w:themeColor="text1"/>
          <w:sz w:val="20"/>
          <w:szCs w:val="20"/>
        </w:rPr>
        <w:t xml:space="preserve"> e </w:t>
      </w:r>
      <w:r w:rsidR="007E6E49" w:rsidRPr="3179706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7E6E4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iii</w:t>
      </w:r>
      <w:r w:rsidR="007E6E49" w:rsidRPr="3179706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.</w:t>
      </w:r>
      <w:r w:rsidR="007E6E4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</w:t>
      </w:r>
      <w:r w:rsidR="007E6E49" w:rsidRPr="3179706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="007E6E49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a concessão de carência</w:t>
      </w:r>
      <w:r w:rsidR="007E6E49">
        <w:rPr>
          <w:rFonts w:ascii="Open Sans" w:hAnsi="Open Sans" w:cs="Open Sans"/>
          <w:color w:val="000000" w:themeColor="text1"/>
          <w:sz w:val="20"/>
          <w:szCs w:val="20"/>
        </w:rPr>
        <w:t xml:space="preserve"> parcial p</w:t>
      </w:r>
      <w:r w:rsidR="007E6E49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ara o pagamento da parcela da Remuneração dos CRI vincenda no </w:t>
      </w:r>
      <w:r w:rsidR="007E6E49">
        <w:rPr>
          <w:rFonts w:ascii="Open Sans" w:hAnsi="Open Sans" w:cs="Open Sans"/>
          <w:color w:val="000000" w:themeColor="text1"/>
          <w:sz w:val="20"/>
          <w:szCs w:val="20"/>
        </w:rPr>
        <w:t>mê</w:t>
      </w:r>
      <w:r w:rsidR="007E6E49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s de </w:t>
      </w:r>
      <w:r w:rsidR="007E6E49">
        <w:rPr>
          <w:rFonts w:ascii="Open Sans" w:hAnsi="Open Sans" w:cs="Open Sans"/>
          <w:color w:val="000000" w:themeColor="text1"/>
          <w:sz w:val="20"/>
          <w:szCs w:val="20"/>
        </w:rPr>
        <w:t>dezembro</w:t>
      </w:r>
      <w:r w:rsidR="007E6E49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de 2023, no montante correspondente a 50% dos valores devidos a título da Remuneração dos CRI</w:t>
      </w:r>
      <w:r w:rsidR="007E6E49" w:rsidRPr="008442BC">
        <w:rPr>
          <w:rFonts w:ascii="Open Sans" w:hAnsi="Open Sans" w:cs="Open Sans"/>
          <w:color w:val="000000" w:themeColor="text1"/>
          <w:sz w:val="20"/>
          <w:szCs w:val="20"/>
        </w:rPr>
        <w:t>, ressaltado que a presente deliberação se dará em caráter retroativo no caso de aprovação da ordem do dia em momento posterior a qualquer das datas de pagamento acima apresentadas, e sendo certo que os outros 50% da parcela da Remuneração dos CRI de dezembro de 2023 serão incorporados em cada Data de Pagamento ao Saldo Valor Nominal Atualizado</w:t>
      </w:r>
      <w:r w:rsidR="007E6E4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762EE0D" w14:textId="77777777" w:rsidR="00EB5930" w:rsidRDefault="00EB5930" w:rsidP="00EB5930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C4383C8" w14:textId="29535FEF" w:rsidR="005164C2" w:rsidRPr="007A3B89" w:rsidRDefault="005164C2" w:rsidP="00EB5930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D4F855B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9C64908" w14:textId="31BB42A1" w:rsidR="00181B45" w:rsidRDefault="00181B45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(iv)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1F00D4">
        <w:rPr>
          <w:rFonts w:ascii="Open Sans" w:hAnsi="Open Sans" w:cs="Open Sans"/>
          <w:color w:val="000000" w:themeColor="text1"/>
          <w:sz w:val="20"/>
          <w:szCs w:val="20"/>
        </w:rPr>
        <w:t>a alteração do valor mínimo do Fundo de Reserva, que deverá ser igual ao valor das duas parcelas subsequentes de Remuneração das Debêntures e que será composto mediante retenção do Excedente Mensal, conforme definido no Contrato de Cessão Fiduciária, e a autorização para que a Securitizadora possa liberar à Prime Foz os valores do Excedente Mensal que sobejarem o novo valor mínimo do Fundo de Reserva para o pagamento dos custos e das despesas que a Prime Foz demonstre e comprove à Securitizadora que são necessários par</w:t>
      </w:r>
      <w:r w:rsidR="001F00D4">
        <w:rPr>
          <w:rFonts w:ascii="Open Sans" w:hAnsi="Open Sans" w:cs="Open Sans"/>
          <w:sz w:val="20"/>
          <w:szCs w:val="20"/>
        </w:rPr>
        <w:t>a garantir</w:t>
      </w:r>
      <w:r w:rsidR="001F00D4" w:rsidRPr="007A6C6F">
        <w:rPr>
          <w:rFonts w:ascii="Open Sans" w:hAnsi="Open Sans" w:cs="Open Sans"/>
          <w:sz w:val="20"/>
          <w:szCs w:val="20"/>
        </w:rPr>
        <w:t xml:space="preserve"> a continuidade </w:t>
      </w:r>
      <w:r w:rsidR="001F00D4">
        <w:rPr>
          <w:rFonts w:ascii="Open Sans" w:hAnsi="Open Sans" w:cs="Open Sans"/>
          <w:sz w:val="20"/>
          <w:szCs w:val="20"/>
        </w:rPr>
        <w:t>das suas operações</w:t>
      </w:r>
      <w:r w:rsidR="00EB593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2DC4355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6EC8276" w14:textId="77777777" w:rsidR="00181B45" w:rsidRPr="007A3B89" w:rsidRDefault="00181B45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A55B871" w14:textId="77777777" w:rsidR="00181B45" w:rsidRPr="007A3B89" w:rsidRDefault="00181B45" w:rsidP="00181B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05AFDBE" w14:textId="77777777" w:rsidR="00820A38" w:rsidRDefault="00820A38" w:rsidP="00820A38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00775A4" w14:textId="76F2E54E" w:rsidR="00820A38" w:rsidRDefault="00820A38" w:rsidP="00820A38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2F6B32">
        <w:rPr>
          <w:rFonts w:ascii="Open Sans" w:hAnsi="Open Sans" w:cs="Open Sans"/>
          <w:color w:val="000000" w:themeColor="text1"/>
          <w:sz w:val="20"/>
          <w:szCs w:val="20"/>
        </w:rPr>
        <w:t>a dispensa retroativa de apresentação e atualização da classificação de risco prevista na Cláusula XVIII do Termo de Securitização, a partir de março de 2023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5938E3A0" w14:textId="77777777" w:rsidR="00820A38" w:rsidRDefault="00820A38" w:rsidP="00820A38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681632A" w14:textId="77777777" w:rsidR="00820A38" w:rsidRPr="007A3B89" w:rsidRDefault="00820A38" w:rsidP="00820A3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CC62DA1" w14:textId="77777777" w:rsidR="00820A38" w:rsidRPr="007A3B89" w:rsidRDefault="00820A38" w:rsidP="00820A38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9D15E91" w14:textId="77777777" w:rsidR="00820A38" w:rsidRDefault="00820A38" w:rsidP="00820A38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D11E964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8356AFB" w14:textId="6759D63F" w:rsidR="00EB5930" w:rsidRDefault="00181B45" w:rsidP="00EB5930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(v</w:t>
      </w:r>
      <w:r w:rsidR="00820A3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bookmarkStart w:id="0" w:name="_Hlk149064107"/>
      <w:r w:rsidR="00FC3EA5">
        <w:rPr>
          <w:rFonts w:ascii="Open Sans" w:hAnsi="Open Sans" w:cs="Open Sans"/>
          <w:color w:val="000000" w:themeColor="text1"/>
          <w:sz w:val="20"/>
          <w:szCs w:val="20"/>
        </w:rPr>
        <w:t xml:space="preserve">a autorização para que </w:t>
      </w:r>
      <w:r w:rsidR="00FC3EA5" w:rsidRPr="00511F2A">
        <w:rPr>
          <w:rFonts w:ascii="Open Sans" w:hAnsi="Open Sans" w:cs="Open Sans"/>
          <w:color w:val="000000" w:themeColor="text1"/>
          <w:sz w:val="20"/>
          <w:szCs w:val="20"/>
        </w:rPr>
        <w:t>o Agente Fiduciário e a Securitizadora pratiquem todo e qualquer ato, celebrem todos e quaisquer contratos, aditamentos ou documentos necessários para a efetivação e implementação das matérias constantes da Ordem do Dia nos documentos relacionados aos CRI, bem como da ratificação dos atos praticados e medidas adotadas pela Securitizadora até a presente data</w:t>
      </w:r>
      <w:bookmarkEnd w:id="0"/>
      <w:r w:rsidR="00EB5930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65209F4C" w14:textId="2455E46B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F8C0EB0" w14:textId="77777777" w:rsidR="00181B45" w:rsidRPr="007A3B89" w:rsidRDefault="00181B45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B1C4BE2" w14:textId="77777777" w:rsidR="00181B45" w:rsidRPr="007A3B89" w:rsidRDefault="00181B45" w:rsidP="00181B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A36B17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640CA6">
        <w:tc>
          <w:tcPr>
            <w:tcW w:w="2835" w:type="dxa"/>
          </w:tcPr>
          <w:p w14:paraId="2ED5FE44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640CA6">
        <w:tc>
          <w:tcPr>
            <w:tcW w:w="2835" w:type="dxa"/>
          </w:tcPr>
          <w:p w14:paraId="148A851A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640CA6">
        <w:tc>
          <w:tcPr>
            <w:tcW w:w="2835" w:type="dxa"/>
          </w:tcPr>
          <w:p w14:paraId="461BA045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E2C438C" w14:textId="77777777" w:rsidR="005164C2" w:rsidRDefault="005164C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sz w:val="20"/>
          <w:szCs w:val="20"/>
          <w:shd w:val="clear" w:color="auto" w:fill="FFFFFF"/>
        </w:rPr>
        <w:br w:type="page"/>
      </w:r>
    </w:p>
    <w:p w14:paraId="1ABA64D0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BBA305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777030D" w:rsidR="00FB0D24" w:rsidRPr="00426E4B" w:rsidRDefault="00FB0D24" w:rsidP="0041488C">
      <w:pPr>
        <w:pStyle w:val="Estil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B5930" w:rsidRPr="00E261C6">
        <w:rPr>
          <w:rFonts w:ascii="Open Sans" w:hAnsi="Open Sans" w:cs="Open Sans"/>
          <w:sz w:val="20"/>
          <w:szCs w:val="20"/>
        </w:rPr>
        <w:t xml:space="preserve">563ª, 564ª, 565ª, 566ª, 567ª, 568ª, 569ª, 570ª, 571ª, 572ª, 573ª </w:t>
      </w:r>
      <w:r w:rsidR="00EB5930">
        <w:rPr>
          <w:rFonts w:ascii="Open Sans" w:hAnsi="Open Sans" w:cs="Open Sans"/>
          <w:sz w:val="20"/>
          <w:szCs w:val="20"/>
        </w:rPr>
        <w:t>e</w:t>
      </w:r>
      <w:r w:rsidR="00EB5930" w:rsidRPr="00E261C6">
        <w:rPr>
          <w:rFonts w:ascii="Open Sans" w:hAnsi="Open Sans" w:cs="Open Sans"/>
          <w:sz w:val="20"/>
          <w:szCs w:val="20"/>
        </w:rPr>
        <w:t xml:space="preserve"> 574ª</w:t>
      </w:r>
      <w:r w:rsidR="00426E4B">
        <w:rPr>
          <w:rFonts w:ascii="Open Sans" w:hAnsi="Open Sans" w:cs="Open Sans"/>
          <w:sz w:val="20"/>
          <w:szCs w:val="20"/>
        </w:rPr>
        <w:t xml:space="preserve"> </w:t>
      </w:r>
      <w:r w:rsidR="00426E4B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26E4B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EB5930" w:rsidRPr="00EB593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563ª, 564ª, 565ª, 566ª, 567ª, 568ª, 569ª, 570ª, 571ª, 572ª, 573ª e 574ª</w:t>
      </w:r>
      <w:r w:rsidR="00426E4B" w:rsidRPr="00426E4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Séries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EB5930">
        <w:rPr>
          <w:rFonts w:ascii="Open Sans" w:hAnsi="Open Sans" w:cs="Open Sans"/>
          <w:sz w:val="20"/>
          <w:szCs w:val="20"/>
        </w:rPr>
        <w:t>30</w:t>
      </w:r>
      <w:r w:rsidR="00C91FAB">
        <w:rPr>
          <w:rFonts w:ascii="Open Sans" w:hAnsi="Open Sans" w:cs="Open Sans"/>
          <w:sz w:val="20"/>
          <w:szCs w:val="20"/>
        </w:rPr>
        <w:t xml:space="preserve"> de </w:t>
      </w:r>
      <w:r w:rsidR="00EB5930">
        <w:rPr>
          <w:rFonts w:ascii="Open Sans" w:hAnsi="Open Sans" w:cs="Open Sans"/>
          <w:sz w:val="20"/>
          <w:szCs w:val="20"/>
        </w:rPr>
        <w:t xml:space="preserve">agosto </w:t>
      </w:r>
      <w:r w:rsidR="00817B60">
        <w:rPr>
          <w:rFonts w:ascii="Open Sans" w:hAnsi="Open Sans" w:cs="Open Sans"/>
          <w:sz w:val="20"/>
          <w:szCs w:val="20"/>
        </w:rPr>
        <w:t>de 20</w:t>
      </w:r>
      <w:r w:rsidR="00942669">
        <w:rPr>
          <w:rFonts w:ascii="Open Sans" w:hAnsi="Open Sans" w:cs="Open Sans"/>
          <w:sz w:val="20"/>
          <w:szCs w:val="20"/>
        </w:rPr>
        <w:t>21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EB5930">
        <w:rPr>
          <w:rFonts w:ascii="Open Sans" w:hAnsi="Open Sans" w:cs="Open Sans"/>
          <w:sz w:val="20"/>
          <w:szCs w:val="20"/>
        </w:rPr>
        <w:t>OLIVEIRA TRUST</w:t>
      </w:r>
      <w:r w:rsidR="00426E4B" w:rsidRPr="00185CE9">
        <w:rPr>
          <w:rFonts w:ascii="Open Sans" w:hAnsi="Open Sans" w:cs="Open Sans"/>
          <w:sz w:val="20"/>
          <w:szCs w:val="20"/>
        </w:rPr>
        <w:t xml:space="preserve"> DISTRIBUIDORA DE TÍTULOS E VALORES MOBILIÁRIOS LTDA., instituição financeira, com sede na Cidade de São Paulo, Estado de São Paulo, na Rua </w:t>
      </w:r>
      <w:r w:rsidR="00426E4B">
        <w:rPr>
          <w:rFonts w:ascii="Open Sans" w:hAnsi="Open Sans" w:cs="Open Sans"/>
          <w:sz w:val="20"/>
          <w:szCs w:val="20"/>
        </w:rPr>
        <w:t>Joaquim Floriano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nº </w:t>
      </w:r>
      <w:r w:rsidR="00EB5930">
        <w:rPr>
          <w:rFonts w:ascii="Open Sans" w:hAnsi="Open Sans" w:cs="Open Sans"/>
          <w:sz w:val="20"/>
          <w:szCs w:val="20"/>
        </w:rPr>
        <w:t>1.052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EB5930">
        <w:rPr>
          <w:rFonts w:ascii="Open Sans" w:hAnsi="Open Sans" w:cs="Open Sans"/>
          <w:sz w:val="20"/>
          <w:szCs w:val="20"/>
        </w:rPr>
        <w:t>13º andar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426E4B">
        <w:rPr>
          <w:rFonts w:ascii="Open Sans" w:hAnsi="Open Sans" w:cs="Open Sans"/>
          <w:sz w:val="20"/>
          <w:szCs w:val="20"/>
        </w:rPr>
        <w:t xml:space="preserve">conj. </w:t>
      </w:r>
      <w:r w:rsidR="00EB5930">
        <w:rPr>
          <w:rFonts w:ascii="Open Sans" w:hAnsi="Open Sans" w:cs="Open Sans"/>
          <w:sz w:val="20"/>
          <w:szCs w:val="20"/>
        </w:rPr>
        <w:t>132 Parte</w:t>
      </w:r>
      <w:r w:rsidR="00426E4B">
        <w:rPr>
          <w:rFonts w:ascii="Open Sans" w:hAnsi="Open Sans" w:cs="Open Sans"/>
          <w:sz w:val="20"/>
          <w:szCs w:val="20"/>
        </w:rPr>
        <w:t xml:space="preserve">, </w:t>
      </w:r>
      <w:r w:rsidR="00EB5930">
        <w:rPr>
          <w:rFonts w:ascii="Open Sans" w:hAnsi="Open Sans" w:cs="Open Sans"/>
          <w:sz w:val="20"/>
          <w:szCs w:val="20"/>
        </w:rPr>
        <w:t xml:space="preserve">Itaim Bibi, </w:t>
      </w:r>
      <w:r w:rsidR="00426E4B">
        <w:rPr>
          <w:rFonts w:ascii="Open Sans" w:hAnsi="Open Sans" w:cs="Open Sans"/>
          <w:sz w:val="20"/>
          <w:szCs w:val="20"/>
        </w:rPr>
        <w:t>CEP 0453</w:t>
      </w:r>
      <w:r w:rsidR="00EB5930">
        <w:rPr>
          <w:rFonts w:ascii="Open Sans" w:hAnsi="Open Sans" w:cs="Open Sans"/>
          <w:sz w:val="20"/>
          <w:szCs w:val="20"/>
        </w:rPr>
        <w:t>1</w:t>
      </w:r>
      <w:r w:rsidR="00426E4B">
        <w:rPr>
          <w:rFonts w:ascii="Open Sans" w:hAnsi="Open Sans" w:cs="Open Sans"/>
          <w:sz w:val="20"/>
          <w:szCs w:val="20"/>
        </w:rPr>
        <w:t>-00</w:t>
      </w:r>
      <w:r w:rsidR="00EB5930">
        <w:rPr>
          <w:rFonts w:ascii="Open Sans" w:hAnsi="Open Sans" w:cs="Open Sans"/>
          <w:sz w:val="20"/>
          <w:szCs w:val="20"/>
        </w:rPr>
        <w:t>1</w:t>
      </w:r>
      <w:r w:rsidR="00426E4B">
        <w:rPr>
          <w:rFonts w:ascii="Open Sans" w:hAnsi="Open Sans" w:cs="Open Sans"/>
          <w:sz w:val="20"/>
          <w:szCs w:val="20"/>
        </w:rPr>
        <w:t xml:space="preserve">, </w:t>
      </w:r>
      <w:r w:rsidR="00426E4B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EB5930" w:rsidRPr="00EB5930">
        <w:rPr>
          <w:rFonts w:ascii="Open Sans" w:hAnsi="Open Sans" w:cs="Open Sans"/>
          <w:sz w:val="20"/>
          <w:szCs w:val="20"/>
        </w:rPr>
        <w:t>36.113.876/0004-34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205DDE2C" w:rsidR="009B272A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DEFC5" w14:textId="3CF95621" w:rsidR="00E01E0D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</w:p>
    <w:p w14:paraId="3320D8E4" w14:textId="0BAF3D2B" w:rsidR="001306A5" w:rsidRPr="00876CCA" w:rsidRDefault="00FB0D24" w:rsidP="005164C2">
      <w:pPr>
        <w:pStyle w:val="Estilo"/>
        <w:spacing w:line="240" w:lineRule="exact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sectPr w:rsidR="001306A5" w:rsidRPr="00876CC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EBEF" w14:textId="77777777" w:rsidR="00474592" w:rsidRDefault="00474592" w:rsidP="00421DD1">
      <w:r>
        <w:separator/>
      </w:r>
    </w:p>
  </w:endnote>
  <w:endnote w:type="continuationSeparator" w:id="0">
    <w:p w14:paraId="274C4F32" w14:textId="77777777" w:rsidR="00474592" w:rsidRDefault="00474592" w:rsidP="00421DD1">
      <w:r>
        <w:continuationSeparator/>
      </w:r>
    </w:p>
  </w:endnote>
  <w:endnote w:type="continuationNotice" w:id="1">
    <w:p w14:paraId="152EC009" w14:textId="77777777" w:rsidR="00474592" w:rsidRDefault="00474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Content>
      <w:sdt>
        <w:sdtPr>
          <w:id w:val="-1495097522"/>
          <w:docPartObj>
            <w:docPartGallery w:val="Page Numbers (Top of Page)"/>
            <w:docPartUnique/>
          </w:docPartObj>
        </w:sdtPr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20FA" w14:textId="77777777" w:rsidR="00474592" w:rsidRDefault="00474592" w:rsidP="00421DD1">
      <w:r>
        <w:separator/>
      </w:r>
    </w:p>
  </w:footnote>
  <w:footnote w:type="continuationSeparator" w:id="0">
    <w:p w14:paraId="40CFF193" w14:textId="77777777" w:rsidR="00474592" w:rsidRDefault="00474592" w:rsidP="00421DD1">
      <w:r>
        <w:continuationSeparator/>
      </w:r>
    </w:p>
  </w:footnote>
  <w:footnote w:type="continuationNotice" w:id="1">
    <w:p w14:paraId="5BDA6C60" w14:textId="77777777" w:rsidR="00474592" w:rsidRDefault="00474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6586A"/>
    <w:rsid w:val="000728FB"/>
    <w:rsid w:val="000733AC"/>
    <w:rsid w:val="00074424"/>
    <w:rsid w:val="00084825"/>
    <w:rsid w:val="00085619"/>
    <w:rsid w:val="000876FB"/>
    <w:rsid w:val="000A24E0"/>
    <w:rsid w:val="000A26EB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6E6"/>
    <w:rsid w:val="00121850"/>
    <w:rsid w:val="001306A5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1B45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0D4"/>
    <w:rsid w:val="001F020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6B32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26E4B"/>
    <w:rsid w:val="00440241"/>
    <w:rsid w:val="004404DE"/>
    <w:rsid w:val="004417DB"/>
    <w:rsid w:val="00444178"/>
    <w:rsid w:val="00445A73"/>
    <w:rsid w:val="00454C20"/>
    <w:rsid w:val="00461090"/>
    <w:rsid w:val="00465348"/>
    <w:rsid w:val="00474592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90460"/>
    <w:rsid w:val="00792A15"/>
    <w:rsid w:val="0079733C"/>
    <w:rsid w:val="007A0FD5"/>
    <w:rsid w:val="007A1185"/>
    <w:rsid w:val="007A3B89"/>
    <w:rsid w:val="007A5DD2"/>
    <w:rsid w:val="007A79C3"/>
    <w:rsid w:val="007B24C9"/>
    <w:rsid w:val="007B2A2E"/>
    <w:rsid w:val="007C2E90"/>
    <w:rsid w:val="007D676B"/>
    <w:rsid w:val="007E274B"/>
    <w:rsid w:val="007E6E49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20A38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A58E8"/>
    <w:rsid w:val="008C0701"/>
    <w:rsid w:val="008C3134"/>
    <w:rsid w:val="008D6695"/>
    <w:rsid w:val="008E3FC1"/>
    <w:rsid w:val="00904CAD"/>
    <w:rsid w:val="0090730A"/>
    <w:rsid w:val="0091013D"/>
    <w:rsid w:val="0091241E"/>
    <w:rsid w:val="00914F1C"/>
    <w:rsid w:val="009238FF"/>
    <w:rsid w:val="00924E4B"/>
    <w:rsid w:val="00933317"/>
    <w:rsid w:val="00942669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172EB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96C91"/>
    <w:rsid w:val="00BA27A0"/>
    <w:rsid w:val="00BB48C1"/>
    <w:rsid w:val="00BC2FE8"/>
    <w:rsid w:val="00BC543A"/>
    <w:rsid w:val="00BD7A6F"/>
    <w:rsid w:val="00BE35AC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1FAB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D2E62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23C9"/>
    <w:rsid w:val="00D346CA"/>
    <w:rsid w:val="00D37798"/>
    <w:rsid w:val="00D4682B"/>
    <w:rsid w:val="00D50CCC"/>
    <w:rsid w:val="00D53209"/>
    <w:rsid w:val="00D535CD"/>
    <w:rsid w:val="00D57D1D"/>
    <w:rsid w:val="00D6332B"/>
    <w:rsid w:val="00D67F7A"/>
    <w:rsid w:val="00D713F0"/>
    <w:rsid w:val="00D73198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141B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5930"/>
    <w:rsid w:val="00EB7A18"/>
    <w:rsid w:val="00EC0133"/>
    <w:rsid w:val="00EC10DA"/>
    <w:rsid w:val="00EC44DD"/>
    <w:rsid w:val="00EC4BEA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C3EA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tesec.com.br/relacao-investid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B9399E207224A990D5C48DFE0C3DC" ma:contentTypeVersion="18" ma:contentTypeDescription="Crie um novo documento." ma:contentTypeScope="" ma:versionID="c6a84358d21445d809cb952b6635d248">
  <xsd:schema xmlns:xsd="http://www.w3.org/2001/XMLSchema" xmlns:xs="http://www.w3.org/2001/XMLSchema" xmlns:p="http://schemas.microsoft.com/office/2006/metadata/properties" xmlns:ns2="63cd3888-6dce-4879-9d02-778ca5cf9668" xmlns:ns3="e51bddb1-fa6e-4b97-b321-188dbd212885" targetNamespace="http://schemas.microsoft.com/office/2006/metadata/properties" ma:root="true" ma:fieldsID="8842bbe33c3e3016d161b3107bf6d17b" ns2:_="" ns3:_="">
    <xsd:import namespace="63cd3888-6dce-4879-9d02-778ca5cf9668"/>
    <xsd:import namespace="e51bddb1-fa6e-4b97-b321-188dbd212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3888-6dce-4879-9d02-778ca5cf96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c726c1-6fb1-4a0e-abb7-a0b80c8e6c1d}" ma:internalName="TaxCatchAll" ma:showField="CatchAllData" ma:web="63cd3888-6dce-4879-9d02-778ca5cf9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ddb1-fa6e-4b97-b321-188dbd212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d3888-6dce-4879-9d02-778ca5cf9668">FSV622TP5J5Y-1298124658-121555</_dlc_DocId>
    <_dlc_DocIdUrl xmlns="63cd3888-6dce-4879-9d02-778ca5cf9668">
      <Url>https://contatofortesec.sharepoint.com/sites/Juridico/_layouts/15/DocIdRedir.aspx?ID=FSV622TP5J5Y-1298124658-121555</Url>
      <Description>FSV622TP5J5Y-1298124658-121555</Description>
    </_dlc_DocIdUrl>
    <TaxCatchAll xmlns="63cd3888-6dce-4879-9d02-778ca5cf9668" xsi:nil="true"/>
    <lcf76f155ced4ddcb4097134ff3c332f xmlns="e51bddb1-fa6e-4b97-b321-188dbd2128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F0F0CC-DCF9-4D08-B630-5C8BB8EC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d3888-6dce-4879-9d02-778ca5cf9668"/>
    <ds:schemaRef ds:uri="e51bddb1-fa6e-4b97-b321-188dbd212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63cd3888-6dce-4879-9d02-778ca5cf9668"/>
    <ds:schemaRef ds:uri="e51bddb1-fa6e-4b97-b321-188dbd212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Gabriel Leal Sena</cp:lastModifiedBy>
  <cp:revision>14</cp:revision>
  <cp:lastPrinted>2023-03-29T19:12:00Z</cp:lastPrinted>
  <dcterms:created xsi:type="dcterms:W3CDTF">2023-08-29T19:11:00Z</dcterms:created>
  <dcterms:modified xsi:type="dcterms:W3CDTF">2023-10-27T14:01:00Z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0x0101006ABB9399E207224A990D5C48DFE0C3DC</vt:lpwstr>
  </property>
  <property fmtid="{D5CDD505-2E9C-101B-9397-08002B2CF9AE}" pid="3" name="Order">
    <vt:r8>14159200</vt:r8>
  </property>
  <property fmtid="{D5CDD505-2E9C-101B-9397-08002B2CF9AE}" pid="4" name="MediaServiceImageTags">
    <vt:lpwstr/>
  </property>
  <property fmtid="{D5CDD505-2E9C-101B-9397-08002B2CF9AE}" pid="5" name="_dlc_DocIdItemGuid">
    <vt:lpwstr>0298f859-db58-4b08-8699-db6e09443267</vt:lpwstr>
  </property>
</Properties>
</file>