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277272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bookmarkStart w:id="0" w:name="_Hlk146199736"/>
      <w:r w:rsidR="00CA3E90" w:rsidRPr="009165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417ª, 418ª, 419ª e 420ª</w:t>
      </w:r>
      <w:bookmarkEnd w:id="0"/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59489C">
        <w:rPr>
          <w:rFonts w:ascii="Open Sans" w:hAnsi="Open Sans" w:cs="Open Sans"/>
          <w:b/>
          <w:bCs/>
          <w:caps/>
          <w:sz w:val="20"/>
          <w:szCs w:val="20"/>
        </w:rPr>
        <w:t xml:space="preserve"> 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>E</w:t>
      </w:r>
      <w:r w:rsidR="0059489C">
        <w:rPr>
          <w:rFonts w:ascii="Open Sans" w:hAnsi="Open Sans" w:cs="Open Sans"/>
          <w:b/>
          <w:sz w:val="20"/>
          <w:szCs w:val="20"/>
        </w:rPr>
        <w:t xml:space="preserve"> 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</w:t>
      </w:r>
      <w:r w:rsidR="0059489C">
        <w:rPr>
          <w:rFonts w:ascii="Open Sans" w:hAnsi="Open Sans" w:cs="Open Sans"/>
          <w:b/>
          <w:caps/>
          <w:sz w:val="20"/>
          <w:szCs w:val="20"/>
        </w:rPr>
        <w:t>/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Pr="00132770" w:rsidRDefault="00703F00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43E7FCE" w14:textId="4C62FA81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39B827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032B1" w:rsidRPr="007032B1">
        <w:rPr>
          <w:rFonts w:ascii="Open Sans" w:hAnsi="Open Sans" w:cs="Open Sans"/>
          <w:sz w:val="20"/>
          <w:szCs w:val="20"/>
        </w:rPr>
        <w:t xml:space="preserve">417ª, 418ª, 419ª e 420ª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032B1" w:rsidRPr="007032B1">
        <w:rPr>
          <w:rFonts w:ascii="Open Sans" w:hAnsi="Open Sans" w:cs="Open Sans"/>
          <w:sz w:val="20"/>
          <w:szCs w:val="20"/>
        </w:rPr>
        <w:t xml:space="preserve">417ª, 418ª, 419ª e 420ª </w:t>
      </w:r>
      <w:r w:rsidR="00C76229" w:rsidRPr="00151FD4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>08 de junho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B243D">
        <w:rPr>
          <w:rFonts w:ascii="Open Sans" w:hAnsi="Open Sans" w:cs="Open Sans"/>
          <w:sz w:val="20"/>
          <w:szCs w:val="20"/>
        </w:rPr>
        <w:t>Simplific</w:t>
      </w:r>
      <w:r w:rsidR="00682965">
        <w:rPr>
          <w:rFonts w:ascii="Open Sans" w:hAnsi="Open Sans" w:cs="Open Sans"/>
          <w:sz w:val="20"/>
          <w:szCs w:val="20"/>
        </w:rPr>
        <w:t xml:space="preserve"> Pavarini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</w:t>
      </w:r>
      <w:r w:rsidR="002B1CE6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F18FD7" w14:textId="77777777" w:rsidR="00871205" w:rsidRDefault="00871205" w:rsidP="0087120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4184" w14:textId="77777777" w:rsidR="004B57D0" w:rsidRDefault="004B57D0" w:rsidP="00421DD1">
      <w:r>
        <w:separator/>
      </w:r>
    </w:p>
  </w:endnote>
  <w:endnote w:type="continuationSeparator" w:id="0">
    <w:p w14:paraId="3C425DFD" w14:textId="77777777" w:rsidR="004B57D0" w:rsidRDefault="004B57D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2ED5" w14:textId="77777777" w:rsidR="004B57D0" w:rsidRDefault="004B57D0" w:rsidP="00421DD1">
      <w:r>
        <w:separator/>
      </w:r>
    </w:p>
  </w:footnote>
  <w:footnote w:type="continuationSeparator" w:id="0">
    <w:p w14:paraId="5EB9780B" w14:textId="77777777" w:rsidR="004B57D0" w:rsidRDefault="004B57D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2770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243D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1CE6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489C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205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05AE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HYRCNR5SWDYV-532882092-40940</_dlc_DocId>
    <_dlc_DocIdUrl xmlns="b9360862-552f-4963-8e0f-4f94fc1c70f6">
      <Url>https://contatofortesec.sharepoint.com/sites/Controledeobrigaes/_layouts/15/DocIdRedir.aspx?ID=HYRCNR5SWDYV-532882092-40940</Url>
      <Description>HYRCNR5SWDYV-532882092-40940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http://purl.org/dc/dcmitype/"/>
    <ds:schemaRef ds:uri="http://purl.org/dc/elements/1.1/"/>
    <ds:schemaRef ds:uri="b9360862-552f-4963-8e0f-4f94fc1c70f6"/>
    <ds:schemaRef ds:uri="http://www.w3.org/XML/1998/namespace"/>
    <ds:schemaRef ds:uri="http://schemas.microsoft.com/office/2006/metadata/properties"/>
    <ds:schemaRef ds:uri="http://purl.org/dc/terms/"/>
    <ds:schemaRef ds:uri="913986ca-1b17-49e2-b408-ffcd5d3b92d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22</cp:revision>
  <cp:lastPrinted>2023-10-06T17:16:00Z</cp:lastPrinted>
  <dcterms:created xsi:type="dcterms:W3CDTF">2023-09-25T14:21:00Z</dcterms:created>
  <dcterms:modified xsi:type="dcterms:W3CDTF">2023-10-06T17:16:00Z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cf6a6982-ac55-4234-991c-4ba48db2a1da</vt:lpwstr>
  </property>
  <property fmtid="{D5CDD505-2E9C-101B-9397-08002B2CF9AE}" pid="5" name="MediaServiceImageTags">
    <vt:lpwstr/>
  </property>
</Properties>
</file>