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60153D4E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0F2ABD" w:rsidRPr="008B73D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515ª, 516ª, 517ª </w:t>
      </w:r>
      <w:r w:rsidR="00227D0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</w:t>
      </w:r>
      <w:r w:rsidR="000F2ABD" w:rsidRPr="008B73D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518ª</w:t>
      </w:r>
      <w:r w:rsidR="000F2ABD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a ser realizada em </w:t>
      </w:r>
      <w:r w:rsidR="00BC2FE8" w:rsidRPr="00AF1712">
        <w:rPr>
          <w:rFonts w:ascii="Open Sans" w:hAnsi="Open Sans" w:cs="Open Sans"/>
          <w:b/>
          <w:caps/>
          <w:sz w:val="20"/>
          <w:szCs w:val="20"/>
        </w:rPr>
        <w:t>PRIMEIRA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convocação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 em</w:t>
      </w:r>
      <w:r w:rsidR="00B0580D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885A4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14 DE DEZEMBRO</w:t>
      </w:r>
      <w:r w:rsidR="0091013D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EC0133">
        <w:rPr>
          <w:rFonts w:ascii="Open Sans" w:hAnsi="Open Sans" w:cs="Open Sans"/>
          <w:b/>
          <w:caps/>
          <w:sz w:val="20"/>
          <w:szCs w:val="20"/>
        </w:rPr>
        <w:t>3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e/ou </w:t>
      </w:r>
      <w:r w:rsidR="00B0580D" w:rsidRPr="00AF1712">
        <w:rPr>
          <w:rFonts w:ascii="Open Sans" w:hAnsi="Open Sans" w:cs="Open Sans"/>
          <w:b/>
          <w:caps/>
          <w:sz w:val="20"/>
          <w:szCs w:val="20"/>
        </w:rPr>
        <w:t xml:space="preserve">em </w:t>
      </w:r>
      <w:r w:rsidRPr="00AF1712">
        <w:rPr>
          <w:rFonts w:ascii="Open Sans" w:hAnsi="Open Sans" w:cs="Open Sans"/>
          <w:b/>
          <w:caps/>
          <w:sz w:val="20"/>
          <w:szCs w:val="20"/>
        </w:rPr>
        <w:t>eventuais reaberturas</w:t>
      </w:r>
      <w:r w:rsidR="00896EF0" w:rsidRPr="00AF1712">
        <w:rPr>
          <w:rFonts w:ascii="Open Sans" w:hAnsi="Open Sans" w:cs="Open Sans"/>
          <w:b/>
          <w:caps/>
          <w:sz w:val="20"/>
          <w:szCs w:val="20"/>
        </w:rPr>
        <w:t xml:space="preserve"> e/ou em segunda convocação</w:t>
      </w:r>
      <w:r w:rsidR="00C4296E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2A246E9" w14:textId="77777777" w:rsidR="003E012D" w:rsidRDefault="003E012D" w:rsidP="003E012D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das Demonstrações Financeiras do Patrimônio Separado referentes ao exercício encerrado </w:t>
      </w:r>
      <w:r w:rsidRPr="009B78AD">
        <w:rPr>
          <w:rFonts w:ascii="Open Sans" w:hAnsi="Open Sans" w:cs="Open Sans"/>
          <w:color w:val="000000" w:themeColor="text1"/>
          <w:sz w:val="20"/>
          <w:szCs w:val="20"/>
        </w:rPr>
        <w:t>em 30 de junho de 2023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Pr="00A4188F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>”), emitidas sem ressalvas e sem opinião modificada, acompanhadas do relatório da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D60159">
        <w:rPr>
          <w:rFonts w:ascii="Open Sans" w:hAnsi="Open Sans" w:cs="Open Sans"/>
          <w:color w:val="000000" w:themeColor="text1"/>
          <w:sz w:val="20"/>
          <w:szCs w:val="20"/>
        </w:rPr>
        <w:t xml:space="preserve">Baker </w:t>
      </w:r>
      <w:proofErr w:type="spellStart"/>
      <w:r w:rsidRPr="00D60159">
        <w:rPr>
          <w:rFonts w:ascii="Open Sans" w:hAnsi="Open Sans" w:cs="Open Sans"/>
          <w:color w:val="000000" w:themeColor="text1"/>
          <w:sz w:val="20"/>
          <w:szCs w:val="20"/>
        </w:rPr>
        <w:t>Tilly</w:t>
      </w:r>
      <w:proofErr w:type="spellEnd"/>
      <w:r w:rsidRPr="00D60159">
        <w:rPr>
          <w:rFonts w:ascii="Open Sans" w:hAnsi="Open Sans" w:cs="Open Sans"/>
          <w:color w:val="000000" w:themeColor="text1"/>
          <w:sz w:val="20"/>
          <w:szCs w:val="20"/>
        </w:rPr>
        <w:t xml:space="preserve"> 4Partners Auditores Independentes Ltda.</w:t>
      </w:r>
      <w:r w:rsidRPr="009B78AD">
        <w:rPr>
          <w:rFonts w:ascii="Open Sans" w:hAnsi="Open Sans" w:cs="Open Sans"/>
          <w:color w:val="000000" w:themeColor="text1"/>
          <w:sz w:val="20"/>
          <w:szCs w:val="20"/>
        </w:rPr>
        <w:t>, na qualidade de auditor independente</w:t>
      </w:r>
      <w:r w:rsidRPr="00A4188F">
        <w:rPr>
          <w:rFonts w:ascii="Open Sans" w:hAnsi="Open Sans" w:cs="Open Sans"/>
          <w:color w:val="000000" w:themeColor="text1"/>
          <w:sz w:val="20"/>
          <w:szCs w:val="20"/>
        </w:rPr>
        <w:t>, elaboradas conforme a Resolução CVM 60, a Lei nº 6.404, de 15 de dezembro de 1976, conforme alterada, e demais normas contábeis, legais e regulatórias aplicáveis</w:t>
      </w:r>
      <w:r>
        <w:rPr>
          <w:rFonts w:ascii="Open Sans" w:hAnsi="Open Sans" w:cs="Open Sans"/>
          <w:color w:val="000000" w:themeColor="text1"/>
          <w:sz w:val="20"/>
          <w:szCs w:val="20"/>
        </w:rPr>
        <w:t>; e</w:t>
      </w: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DF13256" w14:textId="77777777" w:rsidR="00B13BFB" w:rsidRDefault="00B13BFB" w:rsidP="00B13BFB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B78AD">
        <w:rPr>
          <w:rFonts w:ascii="Open Sans" w:hAnsi="Open Sans" w:cs="Open Sans"/>
          <w:color w:val="000000" w:themeColor="text1"/>
          <w:sz w:val="20"/>
          <w:szCs w:val="20"/>
        </w:rPr>
        <w:t xml:space="preserve">a aprovação, ou não, da alteração do Termo de Securitização para que as convocações de Assembleias Gerais possam ocorrer, a critério da Emissora: </w:t>
      </w:r>
      <w:r w:rsidRPr="009B78A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(a)</w:t>
      </w:r>
      <w:r w:rsidRPr="009B78AD">
        <w:rPr>
          <w:rFonts w:ascii="Open Sans" w:hAnsi="Open Sans" w:cs="Open Sans"/>
          <w:color w:val="000000" w:themeColor="text1"/>
          <w:sz w:val="20"/>
          <w:szCs w:val="20"/>
        </w:rPr>
        <w:t xml:space="preserve"> mediante publicação de edital em jornal de grande circulação utilizado pela Emissora para a divulgação de suas informações societárias, por 3 (três) vezes em dias consecutivos, com antecedência mínima de 20 (vinte) dias; </w:t>
      </w:r>
      <w:r w:rsidRPr="009B78AD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ou</w:t>
      </w:r>
      <w:r w:rsidRPr="009B78AD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B78AD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(b)</w:t>
      </w:r>
      <w:r w:rsidRPr="009B78AD">
        <w:rPr>
          <w:rFonts w:ascii="Open Sans" w:hAnsi="Open Sans" w:cs="Open Sans"/>
          <w:color w:val="000000" w:themeColor="text1"/>
          <w:sz w:val="20"/>
          <w:szCs w:val="20"/>
        </w:rPr>
        <w:t xml:space="preserve"> por meio de edital publicado no sítio eletrônico da Emissora, com antecedência mínima de 20 (vinte) dias, sem prejuízo do quanto previsto na Resolução CVM 60 a respeito da convocação de Assembleias Gerais; </w:t>
      </w:r>
    </w:p>
    <w:p w14:paraId="1E816FE3" w14:textId="77777777" w:rsidR="00C76229" w:rsidRPr="0006361F" w:rsidRDefault="00C76229" w:rsidP="00C76229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26F3FD6" w14:textId="77777777" w:rsidR="00463DEF" w:rsidRDefault="00463DEF" w:rsidP="00463DEF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332FD2">
        <w:rPr>
          <w:rFonts w:ascii="Open Sans" w:hAnsi="Open Sans" w:cs="Open Sans"/>
          <w:color w:val="000000" w:themeColor="text1"/>
          <w:sz w:val="20"/>
          <w:szCs w:val="20"/>
        </w:rPr>
        <w:t>a aprovação</w:t>
      </w:r>
      <w:r>
        <w:rPr>
          <w:rFonts w:ascii="Open Sans" w:hAnsi="Open Sans" w:cs="Open Sans"/>
          <w:color w:val="000000" w:themeColor="text1"/>
          <w:sz w:val="20"/>
          <w:szCs w:val="20"/>
        </w:rPr>
        <w:t>,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332FD2">
        <w:rPr>
          <w:rFonts w:ascii="Open Sans" w:hAnsi="Open Sans" w:cs="Open Sans"/>
          <w:color w:val="000000" w:themeColor="text1"/>
          <w:sz w:val="20"/>
          <w:szCs w:val="20"/>
        </w:rPr>
        <w:t>ou não</w:t>
      </w:r>
      <w:r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332FD2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9B78AD">
        <w:rPr>
          <w:rFonts w:ascii="Open Sans" w:hAnsi="Open Sans" w:cs="Open Sans"/>
          <w:color w:val="000000" w:themeColor="text1"/>
          <w:sz w:val="20"/>
          <w:szCs w:val="20"/>
        </w:rPr>
        <w:t>alteração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do Termo de Securitização para inclusão de item no seguinte sentido na Cláusula </w:t>
      </w:r>
      <w:r w:rsidRPr="009748D0">
        <w:rPr>
          <w:rFonts w:ascii="Open Sans" w:hAnsi="Open Sans" w:cs="Open Sans"/>
          <w:color w:val="000000" w:themeColor="text1"/>
          <w:sz w:val="20"/>
          <w:szCs w:val="20"/>
        </w:rPr>
        <w:t>[</w:t>
      </w:r>
      <w:r w:rsidRPr="009B78AD">
        <w:rPr>
          <w:rFonts w:ascii="Open Sans" w:hAnsi="Open Sans" w:cs="Open Sans"/>
          <w:color w:val="000000" w:themeColor="text1"/>
          <w:sz w:val="20"/>
          <w:szCs w:val="20"/>
        </w:rPr>
        <w:t>XII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]: </w:t>
      </w:r>
    </w:p>
    <w:p w14:paraId="00F09A49" w14:textId="77777777" w:rsidR="00463DEF" w:rsidRDefault="00463DEF" w:rsidP="00463DEF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95B9613" w14:textId="77777777" w:rsidR="00463DEF" w:rsidRDefault="00463DEF" w:rsidP="00463DEF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>
        <w:rPr>
          <w:rFonts w:ascii="Open Sans" w:hAnsi="Open Sans" w:cs="Open Sans"/>
          <w:color w:val="000000" w:themeColor="text1"/>
          <w:sz w:val="20"/>
          <w:szCs w:val="20"/>
        </w:rPr>
        <w:t>“</w:t>
      </w:r>
      <w:r w:rsidRPr="009B78AD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As Assembleias Gerais convocadas </w:t>
      </w:r>
      <w:r w:rsidRPr="002D2E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exclusivamente</w:t>
      </w:r>
      <w:r w:rsidRPr="00C71BE8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para fins da aprovação de 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d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emonstrações 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f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inanceiras do Patrimônio Separado (“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  <w:u w:val="single"/>
        </w:rPr>
        <w:t>Demonstrações Financeiras do Patrimônio Separado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”)</w:t>
      </w:r>
      <w:r w:rsidRPr="00DC464F" w:rsidDel="004F7D7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serão instaladas com a presença de qualquer número de titulares de CRI e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, na hipótese de 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sua 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não instalação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em virtude do não comparecimento de qualquer titular de CRI, em segunda convocação,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as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9B78AD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Demonstrações Financeiras do Patrimônio Separado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cujo relatório de auditoria não contiver opinião modificada 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serão consideradas automaticamente aprovadas conforme previsto no artigo 25, §2º</w:t>
      </w:r>
      <w:r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,</w:t>
      </w:r>
      <w:r w:rsidRPr="00DC464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da Resolução CVM 60.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” </w:t>
      </w:r>
    </w:p>
    <w:p w14:paraId="1333F20D" w14:textId="77777777" w:rsidR="00380E67" w:rsidRPr="0006361F" w:rsidRDefault="00380E67" w:rsidP="00380E67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AD98FE6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3AE321" w14:textId="77777777" w:rsidR="00380E67" w:rsidRDefault="00380E67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A2CB147" w14:textId="7BD2386A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F8EAF9D" w14:textId="2041E3CE" w:rsidR="00C76229" w:rsidRPr="00C76229" w:rsidRDefault="00C76229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06B114" w14:textId="77777777" w:rsidR="00BD085F" w:rsidRPr="00B1763D" w:rsidRDefault="00BD085F" w:rsidP="00BD085F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B1763D">
        <w:rPr>
          <w:rFonts w:ascii="Open Sans" w:hAnsi="Open Sans" w:cs="Open Sans"/>
          <w:color w:val="000000" w:themeColor="text1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</w:t>
      </w:r>
      <w:r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3465BB9F" w14:textId="77777777" w:rsidR="00380E67" w:rsidRPr="0006361F" w:rsidRDefault="00380E67" w:rsidP="00380E67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DDB86B9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9CC3762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4626F9" w14:textId="77777777" w:rsidR="00C76229" w:rsidRDefault="00C76229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22C68193" w14:textId="77777777" w:rsidR="00380E67" w:rsidRPr="007A3B89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D9F39F" w14:textId="77777777" w:rsidR="006229EA" w:rsidRDefault="006229EA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023809BB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0AB5A983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0F2ABD" w:rsidRPr="000F2ABD">
        <w:rPr>
          <w:rFonts w:ascii="Open Sans" w:hAnsi="Open Sans" w:cs="Open Sans"/>
          <w:sz w:val="20"/>
          <w:szCs w:val="20"/>
        </w:rPr>
        <w:t>515ª, 516ª, 517ª e 518ª</w:t>
      </w:r>
      <w:r w:rsidR="008672C0" w:rsidRPr="008672C0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3A1AA2" w:rsidRPr="003A1AA2">
        <w:rPr>
          <w:rFonts w:ascii="Open Sans" w:hAnsi="Open Sans" w:cs="Open Sans"/>
          <w:sz w:val="20"/>
          <w:szCs w:val="20"/>
        </w:rPr>
        <w:t xml:space="preserve">515ª, 516ª, 517ª e 518ª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C1511A">
        <w:rPr>
          <w:rFonts w:ascii="Open Sans" w:hAnsi="Open Sans" w:cs="Open Sans"/>
          <w:color w:val="000000" w:themeColor="text1"/>
          <w:sz w:val="20"/>
          <w:szCs w:val="20"/>
        </w:rPr>
        <w:t>23 de março</w:t>
      </w:r>
      <w:r w:rsidR="000D05DF" w:rsidRPr="006E24D4">
        <w:rPr>
          <w:rFonts w:ascii="Open Sans" w:hAnsi="Open Sans" w:cs="Open Sans"/>
          <w:color w:val="000000" w:themeColor="text1"/>
          <w:sz w:val="20"/>
          <w:szCs w:val="20"/>
        </w:rPr>
        <w:t xml:space="preserve"> de 2021</w:t>
      </w:r>
      <w:r w:rsidR="00DC023B">
        <w:rPr>
          <w:rFonts w:ascii="Open Sans" w:hAnsi="Open Sans" w:cs="Open Sans"/>
          <w:sz w:val="20"/>
          <w:szCs w:val="20"/>
        </w:rPr>
        <w:t xml:space="preserve">,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19564C">
        <w:rPr>
          <w:rFonts w:ascii="Open Sans" w:hAnsi="Open Sans" w:cs="Open Sans"/>
          <w:sz w:val="20"/>
          <w:szCs w:val="20"/>
        </w:rPr>
        <w:t xml:space="preserve"> </w:t>
      </w:r>
      <w:r w:rsidR="001C2DF7" w:rsidRPr="001C2DF7">
        <w:rPr>
          <w:rFonts w:ascii="Open Sans" w:hAnsi="Open Sans" w:cs="Open Sans"/>
          <w:sz w:val="20"/>
          <w:szCs w:val="20"/>
        </w:rPr>
        <w:t>Simplific</w:t>
      </w:r>
      <w:r w:rsidR="00994BC7">
        <w:rPr>
          <w:rFonts w:ascii="Open Sans" w:hAnsi="Open Sans" w:cs="Open Sans"/>
          <w:sz w:val="20"/>
          <w:szCs w:val="20"/>
        </w:rPr>
        <w:t xml:space="preserve"> Pavarini </w:t>
      </w:r>
      <w:r w:rsidR="00D06E52" w:rsidRPr="008F7527">
        <w:rPr>
          <w:rFonts w:ascii="Open Sans" w:hAnsi="Open Sans" w:cs="Open Sans"/>
          <w:sz w:val="20"/>
          <w:szCs w:val="20"/>
        </w:rPr>
        <w:t xml:space="preserve">Distribuidora De Títulos E Valores Mobiliários </w:t>
      </w:r>
      <w:r w:rsidR="00C1511A">
        <w:rPr>
          <w:rFonts w:ascii="Open Sans" w:hAnsi="Open Sans" w:cs="Open Sans"/>
          <w:sz w:val="20"/>
          <w:szCs w:val="20"/>
        </w:rPr>
        <w:t>LTDA.</w:t>
      </w:r>
      <w:r w:rsidR="00D06E52" w:rsidRPr="008F7527">
        <w:rPr>
          <w:rFonts w:ascii="Open Sans" w:hAnsi="Open Sans" w:cs="Open Sans"/>
          <w:sz w:val="20"/>
          <w:szCs w:val="20"/>
        </w:rPr>
        <w:t xml:space="preserve">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2B215E" w14:textId="77777777" w:rsidR="009773D6" w:rsidRDefault="009773D6" w:rsidP="009773D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>
        <w:rPr>
          <w:rFonts w:ascii="Open Sans" w:hAnsi="Open Sans" w:cs="Open Sans"/>
          <w:sz w:val="20"/>
          <w:szCs w:val="20"/>
        </w:rPr>
        <w:t xml:space="preserve">48 (quarenta e oito) horas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antes da realização da Assembleia, para o endereço eletrônico da Emissora (</w:t>
      </w:r>
      <w:hyperlink r:id="rId12" w:history="1">
        <w:r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gestao@fortesec.com.br</w:t>
        </w:r>
      </w:hyperlink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) e do Agente Fiduciário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(</w:t>
      </w:r>
      <w:hyperlink r:id="rId13" w:history="1">
        <w:r>
          <w:rPr>
            <w:rStyle w:val="Hyperlink"/>
            <w:rFonts w:ascii="Open Sans" w:hAnsi="Open Sans" w:cs="Open Sans"/>
            <w:sz w:val="20"/>
            <w:szCs w:val="20"/>
            <w:shd w:val="clear" w:color="auto" w:fill="FFFFFF"/>
          </w:rPr>
          <w:t>agentefiduciario@vortx.com.br</w:t>
        </w:r>
      </w:hyperlink>
      <w:r>
        <w:rPr>
          <w:rFonts w:ascii="Open Sans" w:hAnsi="Open Sans" w:cs="Open Sans"/>
          <w:sz w:val="20"/>
          <w:szCs w:val="20"/>
          <w:shd w:val="clear" w:color="auto" w:fill="FFFFFF"/>
        </w:rPr>
        <w:t>).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3C0E483B" w14:textId="77777777" w:rsidR="00C76229" w:rsidRPr="007A3B89" w:rsidRDefault="00C76229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4"/>
      <w:footerReference w:type="default" r:id="rId15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4ECE5" w14:textId="77777777" w:rsidR="00006FA3" w:rsidRDefault="00006FA3" w:rsidP="00421DD1">
      <w:r>
        <w:separator/>
      </w:r>
    </w:p>
  </w:endnote>
  <w:endnote w:type="continuationSeparator" w:id="0">
    <w:p w14:paraId="274665C0" w14:textId="77777777" w:rsidR="00006FA3" w:rsidRDefault="00006FA3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682965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4725" w14:textId="77777777" w:rsidR="00006FA3" w:rsidRDefault="00006FA3" w:rsidP="00421DD1">
      <w:r>
        <w:separator/>
      </w:r>
    </w:p>
  </w:footnote>
  <w:footnote w:type="continuationSeparator" w:id="0">
    <w:p w14:paraId="52B18921" w14:textId="77777777" w:rsidR="00006FA3" w:rsidRDefault="00006FA3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7687" w14:textId="6EC5B85D" w:rsidR="00682965" w:rsidRDefault="00682965" w:rsidP="00B667EE">
    <w:pPr>
      <w:pStyle w:val="Cabealho"/>
      <w:jc w:val="center"/>
    </w:pPr>
  </w:p>
  <w:p w14:paraId="0128C867" w14:textId="77777777" w:rsidR="00682965" w:rsidRDefault="006829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6FA3"/>
    <w:rsid w:val="000072AF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2ABD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9564C"/>
    <w:rsid w:val="001A3BB3"/>
    <w:rsid w:val="001A3ED7"/>
    <w:rsid w:val="001B6CCE"/>
    <w:rsid w:val="001C0427"/>
    <w:rsid w:val="001C2DF7"/>
    <w:rsid w:val="001C3567"/>
    <w:rsid w:val="001C3D79"/>
    <w:rsid w:val="001C72A9"/>
    <w:rsid w:val="001D2B7F"/>
    <w:rsid w:val="001E125A"/>
    <w:rsid w:val="001E3E7C"/>
    <w:rsid w:val="001E6896"/>
    <w:rsid w:val="001F020C"/>
    <w:rsid w:val="00207A8F"/>
    <w:rsid w:val="002137BE"/>
    <w:rsid w:val="002178FA"/>
    <w:rsid w:val="00227D03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80E67"/>
    <w:rsid w:val="00382222"/>
    <w:rsid w:val="003854BB"/>
    <w:rsid w:val="003955DD"/>
    <w:rsid w:val="003A1AA2"/>
    <w:rsid w:val="003A2265"/>
    <w:rsid w:val="003A6F95"/>
    <w:rsid w:val="003B391C"/>
    <w:rsid w:val="003D7443"/>
    <w:rsid w:val="003E012D"/>
    <w:rsid w:val="003E2A2B"/>
    <w:rsid w:val="003E46A9"/>
    <w:rsid w:val="003E67E3"/>
    <w:rsid w:val="003E7367"/>
    <w:rsid w:val="003E7EE3"/>
    <w:rsid w:val="003F11A1"/>
    <w:rsid w:val="004063D8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63DEF"/>
    <w:rsid w:val="00475319"/>
    <w:rsid w:val="00477297"/>
    <w:rsid w:val="00481AC4"/>
    <w:rsid w:val="00483DFE"/>
    <w:rsid w:val="004A447D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29EA"/>
    <w:rsid w:val="00624069"/>
    <w:rsid w:val="0062469A"/>
    <w:rsid w:val="00624D73"/>
    <w:rsid w:val="006501DC"/>
    <w:rsid w:val="00650D59"/>
    <w:rsid w:val="00653819"/>
    <w:rsid w:val="00662D2D"/>
    <w:rsid w:val="0066565B"/>
    <w:rsid w:val="0066631F"/>
    <w:rsid w:val="00682965"/>
    <w:rsid w:val="006866FD"/>
    <w:rsid w:val="00690690"/>
    <w:rsid w:val="00691921"/>
    <w:rsid w:val="006B4B49"/>
    <w:rsid w:val="006C5150"/>
    <w:rsid w:val="006C7A91"/>
    <w:rsid w:val="006D39DD"/>
    <w:rsid w:val="006D4449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6045A"/>
    <w:rsid w:val="00763D1C"/>
    <w:rsid w:val="00790460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33CA3"/>
    <w:rsid w:val="00840295"/>
    <w:rsid w:val="00847395"/>
    <w:rsid w:val="00860FA0"/>
    <w:rsid w:val="0086322A"/>
    <w:rsid w:val="008672C0"/>
    <w:rsid w:val="00870B67"/>
    <w:rsid w:val="00871DF6"/>
    <w:rsid w:val="00885A40"/>
    <w:rsid w:val="00890ADF"/>
    <w:rsid w:val="00890E4B"/>
    <w:rsid w:val="00894061"/>
    <w:rsid w:val="00896EF0"/>
    <w:rsid w:val="008A1E03"/>
    <w:rsid w:val="008C0701"/>
    <w:rsid w:val="008C3134"/>
    <w:rsid w:val="00904CAD"/>
    <w:rsid w:val="0091013D"/>
    <w:rsid w:val="00910FCF"/>
    <w:rsid w:val="0091241E"/>
    <w:rsid w:val="00914F1C"/>
    <w:rsid w:val="009238FF"/>
    <w:rsid w:val="00924E4B"/>
    <w:rsid w:val="0093077C"/>
    <w:rsid w:val="00933317"/>
    <w:rsid w:val="009459B7"/>
    <w:rsid w:val="0094792D"/>
    <w:rsid w:val="009522C1"/>
    <w:rsid w:val="009528BA"/>
    <w:rsid w:val="009618CF"/>
    <w:rsid w:val="0096205A"/>
    <w:rsid w:val="009620A7"/>
    <w:rsid w:val="009631D1"/>
    <w:rsid w:val="009710B4"/>
    <w:rsid w:val="00971D69"/>
    <w:rsid w:val="00976AEC"/>
    <w:rsid w:val="009773D6"/>
    <w:rsid w:val="00994215"/>
    <w:rsid w:val="00994BC7"/>
    <w:rsid w:val="00994F59"/>
    <w:rsid w:val="00995B5A"/>
    <w:rsid w:val="009B267D"/>
    <w:rsid w:val="009B3D1E"/>
    <w:rsid w:val="009C0546"/>
    <w:rsid w:val="009C14A5"/>
    <w:rsid w:val="009D17C4"/>
    <w:rsid w:val="009D53EC"/>
    <w:rsid w:val="009E776C"/>
    <w:rsid w:val="009F3B06"/>
    <w:rsid w:val="009F41DB"/>
    <w:rsid w:val="009F6304"/>
    <w:rsid w:val="00A036BA"/>
    <w:rsid w:val="00A1394D"/>
    <w:rsid w:val="00A16A23"/>
    <w:rsid w:val="00A27DA4"/>
    <w:rsid w:val="00A33A4A"/>
    <w:rsid w:val="00A37AD8"/>
    <w:rsid w:val="00A61AC7"/>
    <w:rsid w:val="00A646AF"/>
    <w:rsid w:val="00A80260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29D9"/>
    <w:rsid w:val="00B0580D"/>
    <w:rsid w:val="00B1061E"/>
    <w:rsid w:val="00B116E8"/>
    <w:rsid w:val="00B13BFB"/>
    <w:rsid w:val="00B15C01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085F"/>
    <w:rsid w:val="00BD7A6F"/>
    <w:rsid w:val="00BF0670"/>
    <w:rsid w:val="00BF7C0A"/>
    <w:rsid w:val="00C01606"/>
    <w:rsid w:val="00C01C0E"/>
    <w:rsid w:val="00C02664"/>
    <w:rsid w:val="00C044ED"/>
    <w:rsid w:val="00C1511A"/>
    <w:rsid w:val="00C16271"/>
    <w:rsid w:val="00C20C61"/>
    <w:rsid w:val="00C2676B"/>
    <w:rsid w:val="00C27A78"/>
    <w:rsid w:val="00C3003E"/>
    <w:rsid w:val="00C403CD"/>
    <w:rsid w:val="00C41816"/>
    <w:rsid w:val="00C4296E"/>
    <w:rsid w:val="00C42CED"/>
    <w:rsid w:val="00C57A52"/>
    <w:rsid w:val="00C61A29"/>
    <w:rsid w:val="00C76229"/>
    <w:rsid w:val="00C80162"/>
    <w:rsid w:val="00C80210"/>
    <w:rsid w:val="00C823F1"/>
    <w:rsid w:val="00C90B90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1CAE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07691"/>
    <w:rsid w:val="00D13935"/>
    <w:rsid w:val="00D2620B"/>
    <w:rsid w:val="00D30CA2"/>
    <w:rsid w:val="00D346CA"/>
    <w:rsid w:val="00D4682B"/>
    <w:rsid w:val="00D50CCC"/>
    <w:rsid w:val="00D53209"/>
    <w:rsid w:val="00D535CD"/>
    <w:rsid w:val="00D600DC"/>
    <w:rsid w:val="00D6332B"/>
    <w:rsid w:val="00D67F7A"/>
    <w:rsid w:val="00D73198"/>
    <w:rsid w:val="00D92191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07E28"/>
    <w:rsid w:val="00E309DB"/>
    <w:rsid w:val="00E33922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670C"/>
    <w:rsid w:val="00E82114"/>
    <w:rsid w:val="00E85C9A"/>
    <w:rsid w:val="00E90E14"/>
    <w:rsid w:val="00E93557"/>
    <w:rsid w:val="00E953F3"/>
    <w:rsid w:val="00E96EF0"/>
    <w:rsid w:val="00EA0716"/>
    <w:rsid w:val="00EA5F16"/>
    <w:rsid w:val="00EB7A18"/>
    <w:rsid w:val="00EC0133"/>
    <w:rsid w:val="00EC10DA"/>
    <w:rsid w:val="00EC44DD"/>
    <w:rsid w:val="00ED0EE2"/>
    <w:rsid w:val="00ED45DF"/>
    <w:rsid w:val="00EE31A2"/>
    <w:rsid w:val="00EF3527"/>
    <w:rsid w:val="00F04446"/>
    <w:rsid w:val="00F074AB"/>
    <w:rsid w:val="00F10B35"/>
    <w:rsid w:val="00F153D8"/>
    <w:rsid w:val="00F2129D"/>
    <w:rsid w:val="00F337F1"/>
    <w:rsid w:val="00F343EF"/>
    <w:rsid w:val="00F4106A"/>
    <w:rsid w:val="00F41120"/>
    <w:rsid w:val="00F61089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gentefiduciario@vortx.com.b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estao@fortesec.com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HYRCNR5SWDYV-532882092-44196</_dlc_DocId>
    <_dlc_DocIdUrl xmlns="b9360862-552f-4963-8e0f-4f94fc1c70f6">
      <Url>https://contatofortesec.sharepoint.com/sites/Controledeobrigaes/_layouts/15/DocIdRedir.aspx?ID=HYRCNR5SWDYV-532882092-44196</Url>
      <Description>HYRCNR5SWDYV-532882092-44196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4" ma:contentTypeDescription="Criar um novo documento." ma:contentTypeScope="" ma:versionID="6947cc92e251660d1c73bdb46b7a96fe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cdf2f926246e342b806f6c40a391895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4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6A47008-2E8E-44DA-955C-6E31C26EB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1222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Cintia Carla Gonçalves</cp:lastModifiedBy>
  <cp:revision>18</cp:revision>
  <cp:lastPrinted>2023-11-23T13:15:00Z</cp:lastPrinted>
  <dcterms:created xsi:type="dcterms:W3CDTF">2023-09-25T16:58:00Z</dcterms:created>
  <dcterms:modified xsi:type="dcterms:W3CDTF">2023-11-23T13:15:00Z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46628e06-aec9-42b7-927a-963d0cdbd19d</vt:lpwstr>
  </property>
  <property fmtid="{D5CDD505-2E9C-101B-9397-08002B2CF9AE}" pid="5" name="MediaServiceImageTags">
    <vt:lpwstr/>
  </property>
</Properties>
</file>