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455725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E06E6" w:rsidRPr="008D3B8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519ª, 520ª, 521ª e 522ª</w:t>
      </w:r>
      <w:r w:rsidR="007E06E6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81723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70597">
        <w:rPr>
          <w:rFonts w:ascii="Open Sans" w:hAnsi="Open Sans" w:cs="Open Sans"/>
          <w:b/>
          <w:bCs/>
          <w:caps/>
          <w:sz w:val="20"/>
          <w:szCs w:val="20"/>
        </w:rPr>
        <w:t>14 de dezembro de 2023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785D966" w14:textId="77777777" w:rsidR="00A6572C" w:rsidRDefault="00A6572C" w:rsidP="00A6572C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</w:t>
      </w:r>
      <w:r w:rsidRPr="008D3B8E">
        <w:rPr>
          <w:rFonts w:ascii="Open Sans" w:hAnsi="Open Sans" w:cs="Open Sans"/>
          <w:color w:val="000000" w:themeColor="text1"/>
          <w:sz w:val="20"/>
          <w:szCs w:val="20"/>
        </w:rPr>
        <w:t xml:space="preserve">modificada, acompanhadas do relatório da </w:t>
      </w:r>
      <w:r w:rsidRPr="008D3B8E">
        <w:rPr>
          <w:rFonts w:ascii="CIDFont+F2" w:hAnsi="CIDFont+F2" w:cs="CIDFont+F2"/>
        </w:rPr>
        <w:t xml:space="preserve">Baker </w:t>
      </w:r>
      <w:proofErr w:type="spellStart"/>
      <w:r w:rsidRPr="008D3B8E">
        <w:rPr>
          <w:rFonts w:ascii="CIDFont+F2" w:hAnsi="CIDFont+F2" w:cs="CIDFont+F2"/>
        </w:rPr>
        <w:t>Tilly</w:t>
      </w:r>
      <w:proofErr w:type="spellEnd"/>
      <w:r w:rsidRPr="008D3B8E">
        <w:rPr>
          <w:rFonts w:ascii="CIDFont+F2" w:hAnsi="CIDFont+F2" w:cs="CIDFont+F2"/>
        </w:rPr>
        <w:t xml:space="preserve"> 4Partners Auditores Independentes Ltda</w:t>
      </w:r>
      <w:r w:rsidRPr="008D3B8E">
        <w:rPr>
          <w:rFonts w:ascii="Open Sans" w:hAnsi="Open Sans" w:cs="Open Sans"/>
          <w:color w:val="000000" w:themeColor="text1"/>
          <w:sz w:val="20"/>
          <w:szCs w:val="20"/>
        </w:rPr>
        <w:t>., na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qualidade de auditor independente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elaboradas conforme a Resolução CVM 60, a Lei nº 6.404, de 15 de dezembro de 1976,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72C48C3" w14:textId="77777777" w:rsidR="0000169C" w:rsidRDefault="0000169C" w:rsidP="0000169C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6F5D1BC" w14:textId="77777777" w:rsidR="00D64C57" w:rsidRDefault="00D64C57" w:rsidP="00D64C5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4F7C1AFF" w14:textId="77777777" w:rsidR="00D64C57" w:rsidRDefault="00D64C57" w:rsidP="00D64C57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72492A8" w14:textId="77777777" w:rsidR="00D64C57" w:rsidRDefault="00D64C57" w:rsidP="00D64C57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4C4638" w14:textId="77777777" w:rsidR="008965E7" w:rsidRPr="00B1763D" w:rsidRDefault="008965E7" w:rsidP="008965E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0558DA5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1F8AD9A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E06E6" w:rsidRPr="007E06E6">
        <w:rPr>
          <w:rFonts w:ascii="Open Sans" w:hAnsi="Open Sans" w:cs="Open Sans"/>
          <w:sz w:val="20"/>
          <w:szCs w:val="20"/>
        </w:rPr>
        <w:t xml:space="preserve">519ª, 520ª, 521ª e 522ª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E06E6" w:rsidRPr="007E06E6">
        <w:rPr>
          <w:rFonts w:ascii="Open Sans" w:hAnsi="Open Sans" w:cs="Open Sans"/>
          <w:sz w:val="20"/>
          <w:szCs w:val="20"/>
        </w:rPr>
        <w:t xml:space="preserve">519ª, 520ª, 521ª e 522ª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8219DA">
        <w:rPr>
          <w:rFonts w:ascii="Open Sans" w:hAnsi="Open Sans" w:cs="Open Sans"/>
          <w:color w:val="000000" w:themeColor="text1"/>
          <w:sz w:val="20"/>
          <w:szCs w:val="20"/>
        </w:rPr>
        <w:t>16 de março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921DF">
        <w:rPr>
          <w:rFonts w:ascii="Open Sans" w:hAnsi="Open Sans" w:cs="Open Sans"/>
          <w:sz w:val="20"/>
          <w:szCs w:val="20"/>
        </w:rPr>
        <w:t>Simplific</w:t>
      </w:r>
      <w:proofErr w:type="spellEnd"/>
      <w:r w:rsidR="00157813">
        <w:rPr>
          <w:rFonts w:ascii="Open Sans" w:hAnsi="Open Sans" w:cs="Open Sans"/>
          <w:sz w:val="20"/>
          <w:szCs w:val="20"/>
        </w:rPr>
        <w:t xml:space="preserve"> Pavarini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157813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168F3A" w14:textId="77777777" w:rsidR="00294E10" w:rsidRDefault="00294E10" w:rsidP="00294E10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907C" w14:textId="77777777" w:rsidR="007D3851" w:rsidRDefault="007D3851" w:rsidP="00421DD1">
      <w:r>
        <w:separator/>
      </w:r>
    </w:p>
  </w:endnote>
  <w:endnote w:type="continuationSeparator" w:id="0">
    <w:p w14:paraId="11DFB0E5" w14:textId="77777777" w:rsidR="007D3851" w:rsidRDefault="007D385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A42" w14:textId="77777777" w:rsidR="007D3851" w:rsidRDefault="007D3851" w:rsidP="00421DD1">
      <w:r>
        <w:separator/>
      </w:r>
    </w:p>
  </w:footnote>
  <w:footnote w:type="continuationSeparator" w:id="0">
    <w:p w14:paraId="578C5396" w14:textId="77777777" w:rsidR="007D3851" w:rsidRDefault="007D385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169C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57813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4E10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2E1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25B7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80BF6"/>
    <w:rsid w:val="00790460"/>
    <w:rsid w:val="0079733C"/>
    <w:rsid w:val="007A3B89"/>
    <w:rsid w:val="007A5DD2"/>
    <w:rsid w:val="007A79C3"/>
    <w:rsid w:val="007B24C9"/>
    <w:rsid w:val="007B2A2E"/>
    <w:rsid w:val="007C2E90"/>
    <w:rsid w:val="007D3851"/>
    <w:rsid w:val="007D676B"/>
    <w:rsid w:val="007D6E51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23C"/>
    <w:rsid w:val="0082045C"/>
    <w:rsid w:val="008219DA"/>
    <w:rsid w:val="00833CA3"/>
    <w:rsid w:val="00840295"/>
    <w:rsid w:val="00847395"/>
    <w:rsid w:val="00860FA0"/>
    <w:rsid w:val="0086322A"/>
    <w:rsid w:val="008672C0"/>
    <w:rsid w:val="00870597"/>
    <w:rsid w:val="00870B67"/>
    <w:rsid w:val="00871DF6"/>
    <w:rsid w:val="00890ADF"/>
    <w:rsid w:val="00890E4B"/>
    <w:rsid w:val="00894061"/>
    <w:rsid w:val="008965E7"/>
    <w:rsid w:val="00896EF0"/>
    <w:rsid w:val="008A1E03"/>
    <w:rsid w:val="008C034C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CDB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6572C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A4A2B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4C57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21DF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HYRCNR5SWDYV-532882092-44194</_dlc_DocId>
    <_dlc_DocIdUrl xmlns="b9360862-552f-4963-8e0f-4f94fc1c70f6">
      <Url>https://contatofortesec.sharepoint.com/sites/Controledeobrigaes/_layouts/15/DocIdRedir.aspx?ID=HYRCNR5SWDYV-532882092-44194</Url>
      <Description>HYRCNR5SWDYV-532882092-44194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1DB05-77DB-4450-AB73-977D1638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22</cp:revision>
  <cp:lastPrinted>2023-11-23T13:11:00Z</cp:lastPrinted>
  <dcterms:created xsi:type="dcterms:W3CDTF">2023-09-25T17:04:00Z</dcterms:created>
  <dcterms:modified xsi:type="dcterms:W3CDTF">2023-11-23T13:11:00Z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b0712d98-8911-4427-b307-9b372e63cae3</vt:lpwstr>
  </property>
  <property fmtid="{D5CDD505-2E9C-101B-9397-08002B2CF9AE}" pid="5" name="MediaServiceImageTags">
    <vt:lpwstr/>
  </property>
</Properties>
</file>