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6B5FE5D" w:rsidR="00FB0D24" w:rsidRPr="007406CB" w:rsidRDefault="00FB0D24" w:rsidP="004E27B5">
      <w:pPr>
        <w:jc w:val="both"/>
        <w:rPr>
          <w:rFonts w:ascii="Open Sans" w:hAnsi="Open Sans" w:cs="Open Sans"/>
          <w:b/>
          <w:bCs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39075A" w:rsidRPr="00AB52E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699ª E 700ª</w:t>
      </w:r>
      <w:r w:rsidR="0094266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E0A54">
        <w:rPr>
          <w:rFonts w:ascii="Open Sans" w:hAnsi="Open Sans" w:cs="Open Sans"/>
          <w:b/>
          <w:bCs/>
          <w:caps/>
          <w:sz w:val="20"/>
          <w:szCs w:val="20"/>
        </w:rPr>
        <w:t>20 de fevereiro de 2024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11627A24" w14:textId="77777777" w:rsidR="00EC4BEA" w:rsidRDefault="00EC4BEA" w:rsidP="00D3779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7F72CC" w14:textId="77777777" w:rsidR="00D37798" w:rsidRPr="007A3B89" w:rsidRDefault="00D37798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A64AC9" w14:textId="64A18584" w:rsidR="00181B45" w:rsidRDefault="00F75522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305B3A" w:rsidRPr="5E058D2B">
        <w:rPr>
          <w:rFonts w:ascii="Open Sans" w:hAnsi="Open Sans" w:cs="Open Sans"/>
          <w:color w:val="000000" w:themeColor="text1"/>
          <w:sz w:val="20"/>
          <w:szCs w:val="20"/>
        </w:rPr>
        <w:t>a aprovação, ou não, da ratificação da Concessão de Waiver à Cedente, conforme ordem do dia “(i)” aprovada no âmbito da Assembleia Geral de Titulares de CRI, realizada em 10 de outubro de 2023, a despeito de a juntada de petição, pela Cedente, reconhecendo o caráter extraconcursal dos créditos pertencentes à Securitizadora no âmbito da Emissão ter sido realizada em prazo ulterior aos 5 (cinco) dias à época pactuado</w:t>
      </w:r>
      <w:r w:rsidR="00181B45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F6C661" w14:textId="4C8FF6BB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3EDC2D" w14:textId="77777777" w:rsidR="005164C2" w:rsidRDefault="005164C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316DC8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6E45E47" w14:textId="3BAE6A38" w:rsidR="00181B45" w:rsidRDefault="00F75522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07376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(a) mediante publicação de edital em jornal de grande circulação utilizado pela Emissora para a divulgação de suas informações societárias, por 3 (três) vezes em dias consecutivos, com antecedência mínima de 20 (vinte) dias; ou (b) por meio de edital publicado no sítio eletrônico da Emissora, com antecedência mínima de </w:t>
      </w:r>
      <w:r w:rsidR="00707376" w:rsidRPr="5E058D2B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20 (vinte) dias, sem prejuízo do quanto previsto na Resolução CVM 60 a respeito da convocação de Assembleias Gerais</w:t>
      </w:r>
      <w:r w:rsidR="00181B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1201A416" w:rsidR="00F75522" w:rsidRDefault="00F7552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6433ABA" w14:textId="4AEEB731" w:rsidR="000A26EB" w:rsidRDefault="00E141B6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nos seguintes termos: </w:t>
      </w:r>
      <w:r w:rsidR="00127FB5" w:rsidRPr="5E058D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(a) 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>substituição</w:t>
      </w:r>
      <w:r w:rsidR="00127FB5" w:rsidRPr="5E058D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do 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II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 pelo 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ao Edital, e, consequentemente, a ratificação dos pagamentos das parcelas realizadas até a presente data e a concessão de carência à </w:t>
      </w:r>
      <w:r w:rsidR="00127FB5">
        <w:rPr>
          <w:rFonts w:ascii="Open Sans" w:hAnsi="Open Sans" w:cs="Open Sans"/>
          <w:color w:val="000000" w:themeColor="text1"/>
          <w:sz w:val="20"/>
          <w:szCs w:val="20"/>
        </w:rPr>
        <w:t>Cedente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no pagamento das parcelas de Amortização </w:t>
      </w:r>
      <w:r w:rsidR="00127FB5">
        <w:rPr>
          <w:rFonts w:ascii="Open Sans" w:hAnsi="Open Sans" w:cs="Open Sans"/>
          <w:color w:val="000000" w:themeColor="text1"/>
          <w:sz w:val="20"/>
          <w:szCs w:val="20"/>
        </w:rPr>
        <w:t>Programada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dos CRI, vincendas entre os meses de janeiro de 2024 (inclusive) e dezembro de 2024 (inclusive); e </w:t>
      </w:r>
      <w:r w:rsidR="00127FB5" w:rsidRPr="5E058D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alteração da Data de Vencimento Final dos CRI, que passará a ser </w:t>
      </w:r>
      <w:r w:rsidR="00127FB5" w:rsidRPr="007221B1">
        <w:rPr>
          <w:rFonts w:ascii="Open Sans" w:hAnsi="Open Sans" w:cs="Open Sans"/>
          <w:color w:val="000000" w:themeColor="text1"/>
          <w:sz w:val="20"/>
          <w:szCs w:val="20"/>
        </w:rPr>
        <w:t>em 22 de</w:t>
      </w:r>
      <w:r w:rsidR="00127FB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julho de 2030</w:t>
      </w:r>
      <w:r w:rsidR="00127FB5">
        <w:rPr>
          <w:rFonts w:ascii="Open Sans" w:hAnsi="Open Sans" w:cs="Open Sans"/>
          <w:color w:val="000000" w:themeColor="text1"/>
          <w:sz w:val="20"/>
          <w:szCs w:val="20"/>
        </w:rPr>
        <w:t xml:space="preserve">, observada a aprovação em caráter retroativo deste item na hipótese de pagamento das obrigações pecuniárias da Cedente nos termos do </w:t>
      </w:r>
      <w:r w:rsidR="00127FB5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127FB5">
        <w:rPr>
          <w:rFonts w:ascii="Open Sans" w:hAnsi="Open Sans" w:cs="Open Sans"/>
          <w:color w:val="000000" w:themeColor="text1"/>
          <w:sz w:val="20"/>
          <w:szCs w:val="20"/>
        </w:rPr>
        <w:t xml:space="preserve"> ao presente Edital</w:t>
      </w:r>
      <w:r w:rsidR="000A26EB" w:rsidRPr="00C506AC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0507A33B" w14:textId="1C30D29B" w:rsidR="00E141B6" w:rsidRDefault="00E141B6" w:rsidP="000A26EB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C64908" w14:textId="430EF178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>a aprovação, ou não, da alteração da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 xml:space="preserve"> taxa efetiva de juros, isto é, da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842C5" w:rsidRPr="00B7609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Remuneração dos CRI Seniores e CRI Subordinados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, para que passem, 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 xml:space="preserve">após a Data de Pagamento 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de 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>20 de fevereiro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de 2024, respectivamente, a corresponder a </w:t>
      </w:r>
      <w:r w:rsidR="008842C5" w:rsidRPr="00654D1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8,00%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(oito por cento) ao ano e </w:t>
      </w:r>
      <w:r w:rsidR="008842C5" w:rsidRPr="00654D1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13,00%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(treze por cento) ao ano,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 xml:space="preserve"> considerando a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 xml:space="preserve"> base de 252 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 xml:space="preserve">(duzentos e cinquenta e dois) </w:t>
      </w:r>
      <w:r w:rsidR="008842C5" w:rsidRPr="5E058D2B">
        <w:rPr>
          <w:rFonts w:ascii="Open Sans" w:hAnsi="Open Sans" w:cs="Open Sans"/>
          <w:color w:val="000000" w:themeColor="text1"/>
          <w:sz w:val="20"/>
          <w:szCs w:val="20"/>
        </w:rPr>
        <w:t>Dias Úteis</w:t>
      </w:r>
      <w:r w:rsidR="008842C5">
        <w:rPr>
          <w:rFonts w:ascii="Open Sans" w:hAnsi="Open Sans" w:cs="Open Sans"/>
          <w:color w:val="000000" w:themeColor="text1"/>
          <w:sz w:val="20"/>
          <w:szCs w:val="20"/>
        </w:rPr>
        <w:t xml:space="preserve"> anuais (“Nova Remuneração dos CRI”), de modo que na Data de Pagamento de 20 de março de 2024 passe a ser aplicada a Nova Remuneração dos CRI</w:t>
      </w:r>
      <w:r w:rsidR="000A26EB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72DC4355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137F51C" w14:textId="02A567D9" w:rsidR="00D13D85" w:rsidRDefault="00181B45" w:rsidP="000A26EB">
      <w:pPr>
        <w:spacing w:line="276" w:lineRule="auto"/>
        <w:jc w:val="both"/>
        <w:rPr>
          <w:rFonts w:ascii="Open Sans" w:eastAsia="MS Mincho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26513E" w:rsidRPr="5E058D2B">
        <w:rPr>
          <w:rFonts w:ascii="Open Sans" w:eastAsia="MS Mincho" w:hAnsi="Open Sans" w:cs="Open Sans"/>
          <w:sz w:val="20"/>
          <w:szCs w:val="20"/>
        </w:rPr>
        <w:t xml:space="preserve">a aprovação, ou não, da destituição da </w:t>
      </w:r>
      <w:r w:rsidR="0026513E" w:rsidRPr="5E058D2B">
        <w:rPr>
          <w:rFonts w:ascii="Open Sans" w:eastAsia="MS Mincho" w:hAnsi="Open Sans" w:cs="Open Sans"/>
          <w:b/>
          <w:bCs/>
          <w:sz w:val="20"/>
          <w:szCs w:val="20"/>
        </w:rPr>
        <w:t>OLIVEIRA TRUST DISTRIBUIDORA DE TÍTULOS E VALORES MOBILIÁRIOS S.A.</w:t>
      </w:r>
      <w:r w:rsidR="0026513E" w:rsidRPr="5E058D2B">
        <w:rPr>
          <w:rFonts w:ascii="Open Sans" w:eastAsia="MS Mincho" w:hAnsi="Open Sans" w:cs="Open Sans"/>
          <w:sz w:val="20"/>
          <w:szCs w:val="20"/>
        </w:rPr>
        <w:t>,</w:t>
      </w:r>
      <w:r w:rsidR="0026513E" w:rsidRPr="5E058D2B">
        <w:rPr>
          <w:rFonts w:ascii="Open Sans" w:hAnsi="Open Sans" w:cs="Open Sans"/>
          <w:sz w:val="20"/>
          <w:szCs w:val="20"/>
        </w:rPr>
        <w:t xml:space="preserve"> </w:t>
      </w:r>
      <w:r w:rsidR="0026513E" w:rsidRPr="5E058D2B">
        <w:rPr>
          <w:rFonts w:ascii="Open Sans" w:eastAsia="MS Mincho" w:hAnsi="Open Sans" w:cs="Open Sans"/>
          <w:sz w:val="20"/>
          <w:szCs w:val="20"/>
        </w:rPr>
        <w:t>instituição financeira, inscrita no CNPJ/ME sob o nº 36.113.876/0004-34, com filial na Cidade de São Paulo, Estado de São Paulo, Rua Joaquim Floriano, n.º 1052, 13º andar, Itaim Bibi (“</w:t>
      </w:r>
      <w:r w:rsidR="0026513E" w:rsidRPr="5E058D2B">
        <w:rPr>
          <w:rFonts w:ascii="Open Sans" w:eastAsia="MS Mincho" w:hAnsi="Open Sans" w:cs="Open Sans"/>
          <w:sz w:val="20"/>
          <w:szCs w:val="20"/>
          <w:u w:val="single"/>
        </w:rPr>
        <w:t>Oliveira Trust</w:t>
      </w:r>
      <w:r w:rsidR="0026513E" w:rsidRPr="5E058D2B">
        <w:rPr>
          <w:rFonts w:ascii="Open Sans" w:eastAsia="MS Mincho" w:hAnsi="Open Sans" w:cs="Open Sans"/>
          <w:sz w:val="20"/>
          <w:szCs w:val="20"/>
        </w:rPr>
        <w:t xml:space="preserve">”), enquanto Agente Fiduciário e Custodiante das CCI e da eleição e imediata contratação da </w:t>
      </w:r>
      <w:r w:rsidR="0026513E" w:rsidRPr="5E058D2B">
        <w:rPr>
          <w:rFonts w:ascii="Open Sans" w:eastAsia="MS Mincho" w:hAnsi="Open Sans" w:cs="Open Sans"/>
          <w:b/>
          <w:bCs/>
          <w:sz w:val="20"/>
          <w:szCs w:val="20"/>
        </w:rPr>
        <w:t>REAG DISTRIBUIDORA DE TÍTULOS E VALORES MOBILIÁRIOS S/A. </w:t>
      </w:r>
      <w:r w:rsidR="0026513E" w:rsidRPr="5E058D2B">
        <w:rPr>
          <w:rFonts w:ascii="Open Sans" w:eastAsia="MS Mincho" w:hAnsi="Open Sans" w:cs="Open Sans"/>
          <w:sz w:val="20"/>
          <w:szCs w:val="20"/>
        </w:rPr>
        <w:t>CNPJ 34.829.992/0001-86, Av. Brigadeiro Faria Lima, 2277, andar 17 conj. 1702, jardim paulistano, CEP 01.452-000 (“</w:t>
      </w:r>
      <w:r w:rsidR="0026513E" w:rsidRPr="5E058D2B">
        <w:rPr>
          <w:rFonts w:ascii="Open Sans" w:eastAsia="MS Mincho" w:hAnsi="Open Sans" w:cs="Open Sans"/>
          <w:sz w:val="20"/>
          <w:szCs w:val="20"/>
          <w:u w:val="single"/>
        </w:rPr>
        <w:t>Novo Agente Fiduciário e Custodiante</w:t>
      </w:r>
      <w:r w:rsidR="0026513E" w:rsidRPr="5E058D2B">
        <w:rPr>
          <w:rFonts w:ascii="Open Sans" w:eastAsia="MS Mincho" w:hAnsi="Open Sans" w:cs="Open Sans"/>
          <w:sz w:val="20"/>
          <w:szCs w:val="20"/>
        </w:rPr>
        <w:t>” ou “</w:t>
      </w:r>
      <w:r w:rsidR="0026513E" w:rsidRPr="5E058D2B">
        <w:rPr>
          <w:rFonts w:ascii="Open Sans" w:eastAsia="MS Mincho" w:hAnsi="Open Sans" w:cs="Open Sans"/>
          <w:sz w:val="20"/>
          <w:szCs w:val="20"/>
          <w:u w:val="single"/>
        </w:rPr>
        <w:t>REAG</w:t>
      </w:r>
      <w:r w:rsidR="0026513E" w:rsidRPr="5E058D2B">
        <w:rPr>
          <w:rFonts w:ascii="Open Sans" w:eastAsia="MS Mincho" w:hAnsi="Open Sans" w:cs="Open Sans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</w:p>
    <w:p w14:paraId="1DD64E8A" w14:textId="77777777" w:rsidR="0026513E" w:rsidRDefault="0026513E" w:rsidP="000A26EB">
      <w:pPr>
        <w:spacing w:line="276" w:lineRule="auto"/>
        <w:jc w:val="both"/>
        <w:rPr>
          <w:rFonts w:ascii="Open Sans" w:eastAsia="MS Mincho" w:hAnsi="Open Sans" w:cs="Open Sans"/>
          <w:sz w:val="20"/>
          <w:szCs w:val="20"/>
        </w:rPr>
      </w:pPr>
    </w:p>
    <w:p w14:paraId="477E52F3" w14:textId="77777777" w:rsidR="0026513E" w:rsidRPr="007A3B89" w:rsidRDefault="0026513E" w:rsidP="0026513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4410CC4" w14:textId="77777777" w:rsidR="0026513E" w:rsidRPr="007A3B89" w:rsidRDefault="0026513E" w:rsidP="0026513E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97B066" w14:textId="77777777" w:rsidR="0026513E" w:rsidRDefault="0026513E" w:rsidP="000A26EB">
      <w:pPr>
        <w:spacing w:line="276" w:lineRule="auto"/>
        <w:jc w:val="both"/>
        <w:rPr>
          <w:rFonts w:ascii="Open Sans" w:eastAsia="MS Mincho" w:hAnsi="Open Sans" w:cs="Open Sans"/>
          <w:sz w:val="20"/>
          <w:szCs w:val="20"/>
        </w:rPr>
      </w:pPr>
    </w:p>
    <w:p w14:paraId="3557D113" w14:textId="77777777" w:rsidR="0026513E" w:rsidRDefault="0026513E" w:rsidP="000A26EB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BBFC540" w14:textId="5EF7A53B" w:rsidR="000A26EB" w:rsidRDefault="0026513E" w:rsidP="000A26EB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651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(vi) </w:t>
      </w:r>
      <w:r w:rsidR="001F5FBC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1F5FBC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1F5FBC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1F5FBC" w:rsidRPr="00546C8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1F5FBC">
        <w:rPr>
          <w:rFonts w:ascii="Open Sans" w:hAnsi="Open Sans" w:cs="Open Sans"/>
          <w:color w:val="000000" w:themeColor="text1"/>
          <w:sz w:val="20"/>
          <w:szCs w:val="20"/>
        </w:rPr>
        <w:t>bem como da ratificação dos atos praticados e medidas adotadas pela Securitizadora até a presente data.</w:t>
      </w:r>
    </w:p>
    <w:p w14:paraId="65209F4C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F8C0EB0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B1C4BE2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1D60E7B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9075A" w:rsidRPr="00F840E9">
        <w:rPr>
          <w:rFonts w:ascii="Open Sans" w:hAnsi="Open Sans" w:cs="Open Sans"/>
          <w:sz w:val="20"/>
          <w:szCs w:val="20"/>
        </w:rPr>
        <w:t xml:space="preserve">699ª </w:t>
      </w:r>
      <w:r w:rsidR="0039075A">
        <w:rPr>
          <w:rFonts w:ascii="Open Sans" w:hAnsi="Open Sans" w:cs="Open Sans"/>
          <w:sz w:val="20"/>
          <w:szCs w:val="20"/>
        </w:rPr>
        <w:t>e</w:t>
      </w:r>
      <w:r w:rsidR="0039075A" w:rsidRPr="00F840E9">
        <w:rPr>
          <w:rFonts w:ascii="Open Sans" w:hAnsi="Open Sans" w:cs="Open Sans"/>
          <w:sz w:val="20"/>
          <w:szCs w:val="20"/>
        </w:rPr>
        <w:t xml:space="preserve"> 700ª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39075A" w:rsidRPr="0039075A">
        <w:rPr>
          <w:rFonts w:ascii="Open Sans" w:hAnsi="Open Sans" w:cs="Open Sans"/>
          <w:i/>
          <w:iCs/>
          <w:sz w:val="20"/>
          <w:szCs w:val="20"/>
        </w:rPr>
        <w:t>699ª e 700ª</w:t>
      </w:r>
      <w:r w:rsidR="0039075A" w:rsidRPr="00F840E9">
        <w:rPr>
          <w:rFonts w:ascii="Open Sans" w:hAnsi="Open Sans" w:cs="Open Sans"/>
          <w:sz w:val="20"/>
          <w:szCs w:val="20"/>
        </w:rPr>
        <w:t xml:space="preserve"> </w:t>
      </w:r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39075A">
        <w:rPr>
          <w:rFonts w:ascii="Open Sans" w:hAnsi="Open Sans" w:cs="Open Sans"/>
          <w:sz w:val="20"/>
          <w:szCs w:val="20"/>
        </w:rPr>
        <w:t>29</w:t>
      </w:r>
      <w:r w:rsidR="00CC02D5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 xml:space="preserve">de </w:t>
      </w:r>
      <w:r w:rsidR="0039075A">
        <w:rPr>
          <w:rFonts w:ascii="Open Sans" w:hAnsi="Open Sans" w:cs="Open Sans"/>
          <w:sz w:val="20"/>
          <w:szCs w:val="20"/>
        </w:rPr>
        <w:t>dezembro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942669">
        <w:rPr>
          <w:rFonts w:ascii="Open Sans" w:hAnsi="Open Sans" w:cs="Open Sans"/>
          <w:sz w:val="20"/>
          <w:szCs w:val="20"/>
        </w:rPr>
        <w:t>21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CC02D5">
        <w:rPr>
          <w:rFonts w:ascii="Open Sans" w:hAnsi="Open Sans" w:cs="Open Sans"/>
          <w:sz w:val="20"/>
          <w:szCs w:val="20"/>
        </w:rPr>
        <w:t>OLIVEIRA TRUST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CC02D5">
        <w:rPr>
          <w:rFonts w:ascii="Open Sans" w:hAnsi="Open Sans" w:cs="Open Sans"/>
          <w:sz w:val="20"/>
          <w:szCs w:val="20"/>
        </w:rPr>
        <w:t>10.52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CC02D5">
        <w:rPr>
          <w:rFonts w:ascii="Open Sans" w:hAnsi="Open Sans" w:cs="Open Sans"/>
          <w:sz w:val="20"/>
          <w:szCs w:val="20"/>
        </w:rPr>
        <w:t>13º andar,</w:t>
      </w:r>
      <w:r w:rsidR="00426E4B" w:rsidRPr="00185CE9">
        <w:rPr>
          <w:rFonts w:ascii="Open Sans" w:hAnsi="Open Sans" w:cs="Open Sans"/>
          <w:sz w:val="20"/>
          <w:szCs w:val="20"/>
        </w:rPr>
        <w:t xml:space="preserve"> </w:t>
      </w:r>
      <w:r w:rsidR="00CC02D5">
        <w:rPr>
          <w:rFonts w:ascii="Open Sans" w:hAnsi="Open Sans" w:cs="Open Sans"/>
          <w:sz w:val="20"/>
          <w:szCs w:val="20"/>
        </w:rPr>
        <w:t>132 Parte</w:t>
      </w:r>
      <w:r w:rsidR="00426E4B">
        <w:rPr>
          <w:rFonts w:ascii="Open Sans" w:hAnsi="Open Sans" w:cs="Open Sans"/>
          <w:sz w:val="20"/>
          <w:szCs w:val="20"/>
        </w:rPr>
        <w:t xml:space="preserve">, CEP </w:t>
      </w:r>
      <w:r w:rsidR="00CC02D5">
        <w:rPr>
          <w:rFonts w:ascii="Open Sans" w:hAnsi="Open Sans" w:cs="Open Sans"/>
          <w:sz w:val="20"/>
          <w:szCs w:val="20"/>
        </w:rPr>
        <w:t>04531-001</w:t>
      </w:r>
      <w:r w:rsidR="00426E4B">
        <w:rPr>
          <w:rFonts w:ascii="Open Sans" w:hAnsi="Open Sans" w:cs="Open Sans"/>
          <w:sz w:val="20"/>
          <w:szCs w:val="20"/>
        </w:rPr>
        <w:t xml:space="preserve">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CC02D5" w:rsidRPr="00CC02D5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será considerada, para fins de contagem de votos na Assembleia, a Instrução de Voto mais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65EC" w14:textId="77777777" w:rsidR="00BE35AC" w:rsidRDefault="00BE35AC" w:rsidP="00421DD1">
      <w:r>
        <w:separator/>
      </w:r>
    </w:p>
  </w:endnote>
  <w:endnote w:type="continuationSeparator" w:id="0">
    <w:p w14:paraId="3082C6D7" w14:textId="77777777" w:rsidR="00BE35AC" w:rsidRDefault="00BE35A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4620" w14:textId="77777777" w:rsidR="00BE35AC" w:rsidRDefault="00BE35AC" w:rsidP="00421DD1">
      <w:r>
        <w:separator/>
      </w:r>
    </w:p>
  </w:footnote>
  <w:footnote w:type="continuationSeparator" w:id="0">
    <w:p w14:paraId="33C3D779" w14:textId="77777777" w:rsidR="00BE35AC" w:rsidRDefault="00BE35A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A26EB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27FB5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1F5FB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513E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B3A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075A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0A54"/>
    <w:rsid w:val="004E27B5"/>
    <w:rsid w:val="004F7F00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2A22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07376"/>
    <w:rsid w:val="00711F1A"/>
    <w:rsid w:val="007266FC"/>
    <w:rsid w:val="00736439"/>
    <w:rsid w:val="007370A4"/>
    <w:rsid w:val="007406CB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3BE8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842C5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2D25"/>
    <w:rsid w:val="00914F1C"/>
    <w:rsid w:val="009238FF"/>
    <w:rsid w:val="00924E4B"/>
    <w:rsid w:val="00933317"/>
    <w:rsid w:val="00942669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051E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13AB9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02D5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13D8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HYRCNR5SWDYV-532882092-48192</_dlc_DocId>
    <_dlc_DocIdUrl xmlns="b9360862-552f-4963-8e0f-4f94fc1c70f6">
      <Url>https://contatofortesec.sharepoint.com/sites/Controledeobrigaes/_layouts/15/DocIdRedir.aspx?ID=HYRCNR5SWDYV-532882092-48192</Url>
      <Description>HYRCNR5SWDYV-532882092-48192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5" ma:contentTypeDescription="Criar um novo documento." ma:contentTypeScope="" ma:versionID="bb6b98177ac6ebd5f4cf636610e49cf4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f999a98a36f3c33c103665baf0434f0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2E71D-60F0-4C53-A65E-0C8E02799400}"/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Gabriel Leal Sena</cp:lastModifiedBy>
  <cp:revision>17</cp:revision>
  <cp:lastPrinted>2023-03-29T19:12:00Z</cp:lastPrinted>
  <dcterms:created xsi:type="dcterms:W3CDTF">2023-08-29T20:43:00Z</dcterms:created>
  <dcterms:modified xsi:type="dcterms:W3CDTF">2024-01-30T20:03:00Z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1e3e0c6b-b78a-470f-bd2d-e57dbac64f8d</vt:lpwstr>
  </property>
  <property fmtid="{D5CDD505-2E9C-101B-9397-08002B2CF9AE}" pid="5" name="MediaServiceImageTags">
    <vt:lpwstr/>
  </property>
</Properties>
</file>