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F1FA4E6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426E4B" w:rsidRPr="009C31D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457ª, 458ª, 459ª, 460ª, 461ª E 462ª</w:t>
      </w:r>
      <w:r w:rsidR="00C91FAB" w:rsidRPr="00C91FA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073E9">
        <w:rPr>
          <w:rFonts w:ascii="Open Sans" w:hAnsi="Open Sans" w:cs="Open Sans"/>
          <w:b/>
          <w:bCs/>
          <w:caps/>
          <w:sz w:val="20"/>
          <w:szCs w:val="20"/>
        </w:rPr>
        <w:t>20 de fevereiro de 2024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F04544A" w14:textId="2E04F7BB" w:rsidR="009462BE" w:rsidRDefault="006D6266" w:rsidP="00974219">
      <w:pPr>
        <w:pStyle w:val="PargrafodaLista"/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14E31AEE">
        <w:rPr>
          <w:rFonts w:ascii="Open Sans" w:hAnsi="Open Sans" w:cs="Open Sans"/>
          <w:color w:val="000000" w:themeColor="text1"/>
          <w:sz w:val="20"/>
          <w:szCs w:val="20"/>
        </w:rPr>
        <w:t>a aprovação, ou não, da ratificação da Concessão de Waiver à GTR, conforme ordem do dia “(i)” aprovada no âmbito da Assembleia Geral de Titulares de CRI, realizada em 22 de dezembro de 2023, a despeito de a juntada de petição reconhecendo o caráter extraconcursal dos créditos pertencentes à Securitizadora no âmbito da Emissão ter sido realizada em prazo ulterior aos 5 (cinco) dias à época pactuado</w:t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1FCA007" w14:textId="02E993A1" w:rsidR="00F75522" w:rsidRDefault="00F75522" w:rsidP="009462BE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E40E69" w:rsidRPr="57E044DB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</w:t>
      </w:r>
      <w:r w:rsidR="00E40E69" w:rsidRPr="57E044D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(a) </w:t>
      </w:r>
      <w:r w:rsidR="00E40E69" w:rsidRPr="57E044DB">
        <w:rPr>
          <w:rFonts w:ascii="Open Sans" w:hAnsi="Open Sans" w:cs="Open Sans"/>
          <w:color w:val="000000" w:themeColor="text1"/>
          <w:sz w:val="20"/>
          <w:szCs w:val="20"/>
        </w:rPr>
        <w:t xml:space="preserve">do Anexo II do Termo de Securitização pelo </w:t>
      </w:r>
      <w:r w:rsidR="00E40E69" w:rsidRPr="00E40E6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="00E40E69" w:rsidRPr="57E044DB">
        <w:rPr>
          <w:rFonts w:ascii="Open Sans" w:hAnsi="Open Sans" w:cs="Open Sans"/>
          <w:color w:val="000000" w:themeColor="text1"/>
          <w:sz w:val="20"/>
          <w:szCs w:val="20"/>
        </w:rPr>
        <w:t xml:space="preserve"> ao Edital, e, consequentemente, , a ratificação dos pagamentos das parcelas realizadas até a presente data e a concessão de carência à GTR Hotéis e Resort Ltda. no pagamento das parcelas de Amortização Ordinária da CCB e, consequentemente, dos CRI, vincendas entre os meses de Janeiro de 2024 (inclusive) e Dezembro de 2024 (inclusive) ("</w:t>
      </w:r>
      <w:r w:rsidR="00E40E69" w:rsidRPr="002C5359">
        <w:rPr>
          <w:rFonts w:ascii="Open Sans" w:hAnsi="Open Sans" w:cs="Open Sans"/>
          <w:color w:val="000000" w:themeColor="text1"/>
          <w:sz w:val="20"/>
          <w:szCs w:val="20"/>
          <w:u w:val="single"/>
        </w:rPr>
        <w:t>Concessão de Carência</w:t>
      </w:r>
      <w:r w:rsidR="00E40E69" w:rsidRPr="57E044DB">
        <w:rPr>
          <w:rFonts w:ascii="Open Sans" w:hAnsi="Open Sans" w:cs="Open Sans"/>
          <w:color w:val="000000" w:themeColor="text1"/>
          <w:sz w:val="20"/>
          <w:szCs w:val="20"/>
        </w:rPr>
        <w:t xml:space="preserve">"); e </w:t>
      </w:r>
      <w:r w:rsidR="00E40E69" w:rsidRPr="57E044D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(b) </w:t>
      </w:r>
      <w:r w:rsidR="00E40E69" w:rsidRPr="57E044DB">
        <w:rPr>
          <w:rFonts w:ascii="Open Sans" w:hAnsi="Open Sans" w:cs="Open Sans"/>
          <w:color w:val="000000" w:themeColor="text1"/>
          <w:sz w:val="20"/>
          <w:szCs w:val="20"/>
        </w:rPr>
        <w:t xml:space="preserve">da Data de Vencimento Final dos CRI </w:t>
      </w:r>
      <w:r w:rsidR="00E40E69" w:rsidRPr="007A055B">
        <w:rPr>
          <w:rFonts w:ascii="Open Sans" w:hAnsi="Open Sans" w:cs="Open Sans"/>
          <w:color w:val="000000" w:themeColor="text1"/>
          <w:sz w:val="20"/>
          <w:szCs w:val="20"/>
        </w:rPr>
        <w:t>para 2</w:t>
      </w:r>
      <w:r w:rsidR="00E40E69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E40E69" w:rsidRPr="007A055B">
        <w:rPr>
          <w:rFonts w:ascii="Open Sans" w:hAnsi="Open Sans" w:cs="Open Sans"/>
          <w:color w:val="000000" w:themeColor="text1"/>
          <w:sz w:val="20"/>
          <w:szCs w:val="20"/>
        </w:rPr>
        <w:t xml:space="preserve"> de</w:t>
      </w:r>
      <w:r w:rsidR="00E40E69" w:rsidRPr="57E044DB">
        <w:rPr>
          <w:rFonts w:ascii="Open Sans" w:hAnsi="Open Sans" w:cs="Open Sans"/>
          <w:color w:val="000000" w:themeColor="text1"/>
          <w:sz w:val="20"/>
          <w:szCs w:val="20"/>
        </w:rPr>
        <w:t xml:space="preserve"> julho de 2030</w:t>
      </w:r>
      <w:r w:rsidR="00E40E69">
        <w:rPr>
          <w:rFonts w:ascii="Open Sans" w:hAnsi="Open Sans" w:cs="Open Sans"/>
          <w:color w:val="000000" w:themeColor="text1"/>
          <w:sz w:val="20"/>
          <w:szCs w:val="20"/>
        </w:rPr>
        <w:t xml:space="preserve">, observada a aprovação em caráter retroativo deste item na hipótese de pagamento das obrigações pecuniárias da GTR nos termos do </w:t>
      </w:r>
      <w:r w:rsidR="00E40E6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="00E40E69">
        <w:rPr>
          <w:rFonts w:ascii="Open Sans" w:hAnsi="Open Sans" w:cs="Open Sans"/>
          <w:color w:val="000000" w:themeColor="text1"/>
          <w:sz w:val="20"/>
          <w:szCs w:val="20"/>
        </w:rPr>
        <w:t xml:space="preserve"> ao Edital</w:t>
      </w:r>
      <w:r w:rsidR="009462BE" w:rsidRPr="2521B75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E3C384D" w14:textId="77777777" w:rsidR="0041521F" w:rsidRDefault="0041521F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774A49E" w14:textId="77777777" w:rsidR="0041521F" w:rsidRDefault="0041521F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39406C2" w14:textId="37489B25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4827807" w14:textId="3181CB25" w:rsidR="005164C2" w:rsidRDefault="00E141B6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9170F7" w:rsidRPr="75BE8C24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da </w:t>
      </w:r>
      <w:r w:rsidR="009170F7">
        <w:rPr>
          <w:rFonts w:ascii="Open Sans" w:hAnsi="Open Sans" w:cs="Open Sans"/>
          <w:color w:val="000000" w:themeColor="text1"/>
          <w:sz w:val="20"/>
          <w:szCs w:val="20"/>
        </w:rPr>
        <w:t xml:space="preserve">taxa efetiva dos juros, isto é, da </w:t>
      </w:r>
      <w:r w:rsidR="009170F7" w:rsidRPr="00E37DF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Remuneração dos CRI Seniores, CRI Mezanino e CRI Subordinados</w:t>
      </w:r>
      <w:r w:rsidR="009170F7" w:rsidRPr="75BE8C24">
        <w:rPr>
          <w:rFonts w:ascii="Open Sans" w:hAnsi="Open Sans" w:cs="Open Sans"/>
          <w:color w:val="000000" w:themeColor="text1"/>
          <w:sz w:val="20"/>
          <w:szCs w:val="20"/>
        </w:rPr>
        <w:t xml:space="preserve">, para que passem, </w:t>
      </w:r>
      <w:r w:rsidR="009170F7">
        <w:rPr>
          <w:rFonts w:ascii="Open Sans" w:hAnsi="Open Sans" w:cs="Open Sans"/>
          <w:color w:val="000000" w:themeColor="text1"/>
          <w:sz w:val="20"/>
          <w:szCs w:val="20"/>
        </w:rPr>
        <w:t>após a Data de Pagamento de 20 fevereiro</w:t>
      </w:r>
      <w:r w:rsidR="009170F7" w:rsidRPr="75BE8C24">
        <w:rPr>
          <w:rFonts w:ascii="Open Sans" w:hAnsi="Open Sans" w:cs="Open Sans"/>
          <w:color w:val="000000" w:themeColor="text1"/>
          <w:sz w:val="20"/>
          <w:szCs w:val="20"/>
        </w:rPr>
        <w:t xml:space="preserve"> de 2024, respectivamente, a corresponder a </w:t>
      </w:r>
      <w:r w:rsidR="009170F7" w:rsidRPr="00E37DF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6,32%</w:t>
      </w:r>
      <w:r w:rsidR="009170F7" w:rsidRPr="75BE8C24">
        <w:rPr>
          <w:rFonts w:ascii="Open Sans" w:hAnsi="Open Sans" w:cs="Open Sans"/>
          <w:color w:val="000000" w:themeColor="text1"/>
          <w:sz w:val="20"/>
          <w:szCs w:val="20"/>
        </w:rPr>
        <w:t xml:space="preserve"> (seis inteiros e trinta e dois centésimos por cento)</w:t>
      </w:r>
      <w:r w:rsidR="009170F7">
        <w:rPr>
          <w:rFonts w:ascii="Open Sans" w:hAnsi="Open Sans" w:cs="Open Sans"/>
          <w:color w:val="000000" w:themeColor="text1"/>
          <w:sz w:val="20"/>
          <w:szCs w:val="20"/>
        </w:rPr>
        <w:t xml:space="preserve"> ao ano</w:t>
      </w:r>
      <w:r w:rsidR="009170F7" w:rsidRPr="75BE8C24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9170F7" w:rsidRPr="00E37DF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8,32%</w:t>
      </w:r>
      <w:r w:rsidR="009170F7" w:rsidRPr="75BE8C24">
        <w:rPr>
          <w:rFonts w:ascii="Open Sans" w:hAnsi="Open Sans" w:cs="Open Sans"/>
          <w:color w:val="000000" w:themeColor="text1"/>
          <w:sz w:val="20"/>
          <w:szCs w:val="20"/>
        </w:rPr>
        <w:t xml:space="preserve"> (oito inteiros e trinta e dois centésimos por cento) </w:t>
      </w:r>
      <w:r w:rsidR="009170F7">
        <w:rPr>
          <w:rFonts w:ascii="Open Sans" w:hAnsi="Open Sans" w:cs="Open Sans"/>
          <w:color w:val="000000" w:themeColor="text1"/>
          <w:sz w:val="20"/>
          <w:szCs w:val="20"/>
        </w:rPr>
        <w:t xml:space="preserve">ao ano </w:t>
      </w:r>
      <w:r w:rsidR="009170F7" w:rsidRPr="75BE8C24">
        <w:rPr>
          <w:rFonts w:ascii="Open Sans" w:hAnsi="Open Sans" w:cs="Open Sans"/>
          <w:color w:val="000000" w:themeColor="text1"/>
          <w:sz w:val="20"/>
          <w:szCs w:val="20"/>
        </w:rPr>
        <w:t xml:space="preserve">e </w:t>
      </w:r>
      <w:r w:rsidR="009170F7" w:rsidRPr="00E37DF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12,12%</w:t>
      </w:r>
      <w:r w:rsidR="009170F7" w:rsidRPr="75BE8C24">
        <w:rPr>
          <w:rFonts w:ascii="Open Sans" w:hAnsi="Open Sans" w:cs="Open Sans"/>
          <w:color w:val="000000" w:themeColor="text1"/>
          <w:sz w:val="20"/>
          <w:szCs w:val="20"/>
        </w:rPr>
        <w:t xml:space="preserve"> (doze inteiros e doze centésimos por cento)</w:t>
      </w:r>
      <w:r w:rsidR="009170F7">
        <w:rPr>
          <w:rFonts w:ascii="Open Sans" w:hAnsi="Open Sans" w:cs="Open Sans"/>
          <w:color w:val="000000" w:themeColor="text1"/>
          <w:sz w:val="20"/>
          <w:szCs w:val="20"/>
        </w:rPr>
        <w:t xml:space="preserve"> ao ano, considerando a base de 252 (duzentos e cinquenta e dois) Dias Úteis anuais (“</w:t>
      </w:r>
      <w:r w:rsidR="009170F7" w:rsidRPr="00E37DFE">
        <w:rPr>
          <w:rFonts w:ascii="Open Sans" w:hAnsi="Open Sans" w:cs="Open Sans"/>
          <w:color w:val="000000" w:themeColor="text1"/>
          <w:sz w:val="20"/>
          <w:szCs w:val="20"/>
          <w:u w:val="single"/>
        </w:rPr>
        <w:t>Nova Remuneração dos CRI</w:t>
      </w:r>
      <w:r w:rsidR="009170F7">
        <w:rPr>
          <w:rFonts w:ascii="Open Sans" w:hAnsi="Open Sans" w:cs="Open Sans"/>
          <w:color w:val="000000" w:themeColor="text1"/>
          <w:sz w:val="20"/>
          <w:szCs w:val="20"/>
        </w:rPr>
        <w:t>”), de modo que na Data de Pagamento de 20 de março de 204 passe a ser aplicada a Nova Remuneração dos CRI</w:t>
      </w:r>
      <w:r w:rsidR="009462BE" w:rsidRPr="00C506AC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507A33B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D4F855B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C4355" w14:textId="76C4FA5A" w:rsidR="00181B45" w:rsidRDefault="00181B4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iv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1377F1" w:rsidRPr="75BE8C24">
        <w:rPr>
          <w:rFonts w:ascii="Open Sans" w:eastAsia="MS Mincho" w:hAnsi="Open Sans" w:cs="Open Sans"/>
          <w:sz w:val="20"/>
          <w:szCs w:val="20"/>
        </w:rPr>
        <w:t xml:space="preserve">a aprovação, ou não, da destituição da </w:t>
      </w:r>
      <w:r w:rsidR="001377F1" w:rsidRPr="75BE8C24">
        <w:rPr>
          <w:rFonts w:ascii="Open Sans" w:eastAsia="MS Mincho" w:hAnsi="Open Sans" w:cs="Open Sans"/>
          <w:b/>
          <w:bCs/>
          <w:sz w:val="20"/>
          <w:szCs w:val="20"/>
        </w:rPr>
        <w:t>VX PAVARINI DISTRIBUIDORA DE TÍTULOS E VALORES MOBILIÁRIOS LTDA</w:t>
      </w:r>
      <w:r w:rsidR="001377F1" w:rsidRPr="75BE8C24">
        <w:rPr>
          <w:rFonts w:ascii="Open Sans" w:hAnsi="Open Sans" w:cs="Open Sans"/>
          <w:sz w:val="20"/>
          <w:szCs w:val="20"/>
        </w:rPr>
        <w:t xml:space="preserve"> </w:t>
      </w:r>
      <w:r w:rsidR="001377F1" w:rsidRPr="75BE8C24">
        <w:rPr>
          <w:rFonts w:ascii="Open Sans" w:eastAsia="MS Mincho" w:hAnsi="Open Sans" w:cs="Open Sans"/>
          <w:sz w:val="20"/>
          <w:szCs w:val="20"/>
        </w:rPr>
        <w:t xml:space="preserve">sociedade limitada empresária, atuando por sua filial na Cidade de São Paulo, Estado de São Paulo, na Rua Joaquim Floriano, nº 466, bloco B, Conj, 1401, CEP 04534-002, enquanto Agente Fiduciário e Custodiante das CCI e da eleição e imediata contratação da </w:t>
      </w:r>
      <w:r w:rsidR="001377F1" w:rsidRPr="75BE8C24">
        <w:rPr>
          <w:rFonts w:ascii="Open Sans" w:eastAsia="MS Mincho" w:hAnsi="Open Sans" w:cs="Open Sans"/>
          <w:b/>
          <w:bCs/>
          <w:sz w:val="20"/>
          <w:szCs w:val="20"/>
        </w:rPr>
        <w:t>REAG DISTRIBUIDORA DE TÍTULOS E VALORES MOBILIÁRIOS S/A. </w:t>
      </w:r>
      <w:r w:rsidR="001377F1" w:rsidRPr="75BE8C24">
        <w:rPr>
          <w:rFonts w:ascii="Open Sans" w:eastAsia="MS Mincho" w:hAnsi="Open Sans" w:cs="Open Sans"/>
          <w:sz w:val="20"/>
          <w:szCs w:val="20"/>
        </w:rPr>
        <w:t>CNPJ 34.829.992/0001-86, Av. Brigadeiro Faria Lima, 2277, andar 17 conj. 1702, jardim paulistano, CEP 01.452-000 (“</w:t>
      </w:r>
      <w:r w:rsidR="001377F1" w:rsidRPr="75BE8C24">
        <w:rPr>
          <w:rFonts w:ascii="Open Sans" w:eastAsia="MS Mincho" w:hAnsi="Open Sans" w:cs="Open Sans"/>
          <w:sz w:val="20"/>
          <w:szCs w:val="20"/>
          <w:u w:val="single"/>
        </w:rPr>
        <w:t>Novo Agente Fiduciário e Custodiante</w:t>
      </w:r>
      <w:r w:rsidR="001377F1" w:rsidRPr="75BE8C24">
        <w:rPr>
          <w:rFonts w:ascii="Open Sans" w:eastAsia="MS Mincho" w:hAnsi="Open Sans" w:cs="Open Sans"/>
          <w:sz w:val="20"/>
          <w:szCs w:val="20"/>
        </w:rPr>
        <w:t>” ou “</w:t>
      </w:r>
      <w:r w:rsidR="001377F1" w:rsidRPr="75BE8C24">
        <w:rPr>
          <w:rFonts w:ascii="Open Sans" w:eastAsia="MS Mincho" w:hAnsi="Open Sans" w:cs="Open Sans"/>
          <w:sz w:val="20"/>
          <w:szCs w:val="20"/>
          <w:u w:val="single"/>
        </w:rPr>
        <w:t>REAG</w:t>
      </w:r>
      <w:r w:rsidR="001377F1" w:rsidRPr="75BE8C24">
        <w:rPr>
          <w:rFonts w:ascii="Open Sans" w:eastAsia="MS Mincho" w:hAnsi="Open Sans" w:cs="Open Sans"/>
          <w:sz w:val="20"/>
          <w:szCs w:val="20"/>
        </w:rPr>
        <w:t>”), para assunção dos deveres, atribuições e responsabilidades constantes das normas legais e regulatórias aplicáveis, do Termo de Securitização e dos demais Documentos da Operação aplicáveis atualmente à Oliveira Trust, na qualidade de Agente Fiduciário e de Custodiante, a partir da data da Assembleia Geral</w:t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  <w:r w:rsidR="009462BE" w:rsidRPr="00E26EC7">
        <w:rPr>
          <w:rFonts w:ascii="Open Sans" w:hAnsi="Open Sans" w:cs="Open Sans"/>
          <w:color w:val="000000" w:themeColor="text1"/>
          <w:sz w:val="20"/>
          <w:szCs w:val="20"/>
        </w:rPr>
        <w:t>e</w:t>
      </w:r>
    </w:p>
    <w:p w14:paraId="7508C0C7" w14:textId="77777777" w:rsidR="009462BE" w:rsidRDefault="009462BE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6EC8276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A55B871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D11E964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3336119" w14:textId="741392AE" w:rsidR="00181B45" w:rsidRDefault="00181B4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(v)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9462BE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>CRI, bem como da ratificação dos atos praticados e medidas adotadas pela Securitizadora até a presente data.</w:t>
      </w:r>
    </w:p>
    <w:p w14:paraId="094DCDE1" w14:textId="77777777" w:rsidR="00B918D0" w:rsidRDefault="00B918D0" w:rsidP="00B918D0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8DFE4E4" w14:textId="77777777" w:rsidR="00B918D0" w:rsidRPr="007A3B89" w:rsidRDefault="00B918D0" w:rsidP="00B918D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05CC27E" w14:textId="77777777" w:rsidR="00B918D0" w:rsidRPr="007A3B89" w:rsidRDefault="00B918D0" w:rsidP="00B918D0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1987C9E" w14:textId="77777777" w:rsidR="00B918D0" w:rsidRDefault="00B918D0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3135FC5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A16013">
        <w:tc>
          <w:tcPr>
            <w:tcW w:w="2835" w:type="dxa"/>
          </w:tcPr>
          <w:p w14:paraId="2ED5FE44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A16013">
        <w:tc>
          <w:tcPr>
            <w:tcW w:w="2835" w:type="dxa"/>
          </w:tcPr>
          <w:p w14:paraId="148A851A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A16013">
        <w:tc>
          <w:tcPr>
            <w:tcW w:w="2835" w:type="dxa"/>
          </w:tcPr>
          <w:p w14:paraId="461BA045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4D62A74" w:rsidR="00FB0D24" w:rsidRPr="00426E4B" w:rsidRDefault="00FB0D24" w:rsidP="0041488C">
      <w:pPr>
        <w:pStyle w:val="Estil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="00426E4B" w:rsidRPr="00CE2DD5">
        <w:rPr>
          <w:rFonts w:ascii="Open Sans" w:hAnsi="Open Sans" w:cs="Open Sans"/>
          <w:sz w:val="20"/>
          <w:szCs w:val="20"/>
        </w:rPr>
        <w:t>das</w:t>
      </w:r>
      <w:proofErr w:type="spellEnd"/>
      <w:r w:rsidR="00426E4B" w:rsidRPr="00CE2DD5">
        <w:rPr>
          <w:rFonts w:ascii="Open Sans" w:hAnsi="Open Sans" w:cs="Open Sans"/>
          <w:sz w:val="20"/>
          <w:szCs w:val="20"/>
        </w:rPr>
        <w:t xml:space="preserve"> </w:t>
      </w:r>
      <w:r w:rsidR="00426E4B" w:rsidRPr="009C31D9">
        <w:rPr>
          <w:rFonts w:ascii="Open Sans" w:hAnsi="Open Sans" w:cs="Open Sans"/>
          <w:sz w:val="20"/>
          <w:szCs w:val="20"/>
        </w:rPr>
        <w:t xml:space="preserve">457ª, 458ª, 459ª, 460ª, 461ª </w:t>
      </w:r>
      <w:r w:rsidR="00426E4B">
        <w:rPr>
          <w:rFonts w:ascii="Open Sans" w:hAnsi="Open Sans" w:cs="Open Sans"/>
          <w:sz w:val="20"/>
          <w:szCs w:val="20"/>
        </w:rPr>
        <w:t>e</w:t>
      </w:r>
      <w:r w:rsidR="00426E4B" w:rsidRPr="009C31D9">
        <w:rPr>
          <w:rFonts w:ascii="Open Sans" w:hAnsi="Open Sans" w:cs="Open Sans"/>
          <w:sz w:val="20"/>
          <w:szCs w:val="20"/>
        </w:rPr>
        <w:t xml:space="preserve"> 462ª</w:t>
      </w:r>
      <w:r w:rsidR="00426E4B">
        <w:rPr>
          <w:rFonts w:ascii="Open Sans" w:hAnsi="Open Sans" w:cs="Open Sans"/>
          <w:sz w:val="20"/>
          <w:szCs w:val="20"/>
        </w:rPr>
        <w:t xml:space="preserve"> </w:t>
      </w:r>
      <w:r w:rsidR="00426E4B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26E4B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das</w:t>
      </w:r>
      <w:proofErr w:type="spellEnd"/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457ª, 458ª, 459ª, 460ª, 461ª e 462ª Séries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C91FAB">
        <w:rPr>
          <w:rFonts w:ascii="Open Sans" w:hAnsi="Open Sans" w:cs="Open Sans"/>
          <w:sz w:val="20"/>
          <w:szCs w:val="20"/>
        </w:rPr>
        <w:t xml:space="preserve">15 de </w:t>
      </w:r>
      <w:r w:rsidR="00426E4B">
        <w:rPr>
          <w:rFonts w:ascii="Open Sans" w:hAnsi="Open Sans" w:cs="Open Sans"/>
          <w:sz w:val="20"/>
          <w:szCs w:val="20"/>
        </w:rPr>
        <w:t>julho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2E3F32">
        <w:rPr>
          <w:rFonts w:ascii="Open Sans" w:hAnsi="Open Sans" w:cs="Open Sans"/>
          <w:sz w:val="20"/>
          <w:szCs w:val="20"/>
        </w:rPr>
        <w:t>2</w:t>
      </w:r>
      <w:r w:rsidR="00426E4B">
        <w:rPr>
          <w:rFonts w:ascii="Open Sans" w:hAnsi="Open Sans" w:cs="Open Sans"/>
          <w:sz w:val="20"/>
          <w:szCs w:val="20"/>
        </w:rPr>
        <w:t>0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426E4B">
        <w:rPr>
          <w:rFonts w:ascii="Open Sans" w:hAnsi="Open Sans" w:cs="Open Sans"/>
          <w:sz w:val="20"/>
          <w:szCs w:val="20"/>
        </w:rPr>
        <w:t>VX PAVARINI</w:t>
      </w:r>
      <w:r w:rsidR="00426E4B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426E4B">
        <w:rPr>
          <w:rFonts w:ascii="Open Sans" w:hAnsi="Open Sans" w:cs="Open Sans"/>
          <w:sz w:val="20"/>
          <w:szCs w:val="20"/>
        </w:rPr>
        <w:t>Joaquim Floriano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nº </w:t>
      </w:r>
      <w:r w:rsidR="00426E4B">
        <w:rPr>
          <w:rFonts w:ascii="Open Sans" w:hAnsi="Open Sans" w:cs="Open Sans"/>
          <w:sz w:val="20"/>
          <w:szCs w:val="20"/>
        </w:rPr>
        <w:t>466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426E4B">
        <w:rPr>
          <w:rFonts w:ascii="Open Sans" w:hAnsi="Open Sans" w:cs="Open Sans"/>
          <w:sz w:val="20"/>
          <w:szCs w:val="20"/>
        </w:rPr>
        <w:t>bloco B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426E4B">
        <w:rPr>
          <w:rFonts w:ascii="Open Sans" w:hAnsi="Open Sans" w:cs="Open Sans"/>
          <w:sz w:val="20"/>
          <w:szCs w:val="20"/>
        </w:rPr>
        <w:t xml:space="preserve">conj. 1401, CEP 04534-002, </w:t>
      </w:r>
      <w:r w:rsidR="00426E4B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426E4B" w:rsidRPr="002E3F32">
        <w:rPr>
          <w:rFonts w:ascii="Open Sans" w:hAnsi="Open Sans" w:cs="Open Sans"/>
          <w:sz w:val="20"/>
          <w:szCs w:val="20"/>
        </w:rPr>
        <w:t>15.227.994/0004-01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CCB1A5D" w14:textId="77777777" w:rsidR="0041521F" w:rsidRDefault="009B272A" w:rsidP="009B272A">
      <w:pPr>
        <w:pStyle w:val="Estil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 xml:space="preserve">e demais partes da operação, bem como entre partes relacionadas, </w:t>
      </w:r>
    </w:p>
    <w:p w14:paraId="02D20A1E" w14:textId="77777777" w:rsidR="0041521F" w:rsidRDefault="0041521F" w:rsidP="009B272A">
      <w:pPr>
        <w:pStyle w:val="Estil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BE5D90A" w14:textId="56BF454A" w:rsidR="009B272A" w:rsidRDefault="00DA01A0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37798">
        <w:rPr>
          <w:rFonts w:ascii="Open Sans" w:hAnsi="Open Sans" w:cs="Open Sans"/>
          <w:color w:val="000000" w:themeColor="text1"/>
          <w:sz w:val="20"/>
          <w:szCs w:val="20"/>
        </w:rPr>
        <w:t>conforme definição prevista na Resolução CVM 94/2022 - Pronunciamento Técnico CPC 05, bem como no art. 32 da Resolução CVM 60/2021, ao artigo 115 § 1° da Lei 6.404/76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2BCACE55" w14:textId="77777777" w:rsidR="0041521F" w:rsidRDefault="0041521F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D1B0B41" w14:textId="77777777" w:rsidR="0041521F" w:rsidRPr="007A3B89" w:rsidRDefault="0041521F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3AD3C006" w:rsidR="001306A5" w:rsidRPr="00876CCA" w:rsidRDefault="007D4422" w:rsidP="007D4422">
      <w:pPr>
        <w:pStyle w:val="Estilo"/>
        <w:spacing w:line="240" w:lineRule="exact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D4422">
        <w:rPr>
          <w:rFonts w:ascii="Open Sans" w:hAnsi="Open Sans" w:cs="Open Sans"/>
          <w:sz w:val="20"/>
          <w:szCs w:val="20"/>
          <w:shd w:val="clear" w:color="auto" w:fill="FFFFFF"/>
        </w:rPr>
        <w:t xml:space="preserve">Ademais, a Securitizadora se coloca à disposição dos Titulares de CRI para prestar outros esclarecimentos que porventura se façam necessários, os quais poderão ser solicitados por meio de envio de comunicação ao endereço eletrônico </w:t>
      </w:r>
      <w:hyperlink r:id="rId12" w:history="1">
        <w:r w:rsidRPr="00AB19EC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sectPr w:rsidR="001306A5" w:rsidRPr="00876CCA" w:rsidSect="00D263EA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6802" w14:textId="77777777" w:rsidR="00D263EA" w:rsidRDefault="00D263EA" w:rsidP="00421DD1">
      <w:r>
        <w:separator/>
      </w:r>
    </w:p>
  </w:endnote>
  <w:endnote w:type="continuationSeparator" w:id="0">
    <w:p w14:paraId="36FA4FF2" w14:textId="77777777" w:rsidR="00D263EA" w:rsidRDefault="00D263EA" w:rsidP="00421DD1">
      <w:r>
        <w:continuationSeparator/>
      </w:r>
    </w:p>
  </w:endnote>
  <w:endnote w:type="continuationNotice" w:id="1">
    <w:p w14:paraId="2AF9F284" w14:textId="77777777" w:rsidR="00D263EA" w:rsidRDefault="00D26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A16013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1C04" w14:textId="77777777" w:rsidR="00D263EA" w:rsidRDefault="00D263EA" w:rsidP="00421DD1">
      <w:r>
        <w:separator/>
      </w:r>
    </w:p>
  </w:footnote>
  <w:footnote w:type="continuationSeparator" w:id="0">
    <w:p w14:paraId="00A88D95" w14:textId="77777777" w:rsidR="00D263EA" w:rsidRDefault="00D263EA" w:rsidP="00421DD1">
      <w:r>
        <w:continuationSeparator/>
      </w:r>
    </w:p>
  </w:footnote>
  <w:footnote w:type="continuationNotice" w:id="1">
    <w:p w14:paraId="5035048A" w14:textId="77777777" w:rsidR="00D263EA" w:rsidRDefault="00D263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A1601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0DA3"/>
    <w:rsid w:val="00135CED"/>
    <w:rsid w:val="00136BE7"/>
    <w:rsid w:val="001377F1"/>
    <w:rsid w:val="00146305"/>
    <w:rsid w:val="00152103"/>
    <w:rsid w:val="00155920"/>
    <w:rsid w:val="001626E6"/>
    <w:rsid w:val="00172C61"/>
    <w:rsid w:val="00174178"/>
    <w:rsid w:val="00180328"/>
    <w:rsid w:val="00181B45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3E9"/>
    <w:rsid w:val="00407DC5"/>
    <w:rsid w:val="00410B23"/>
    <w:rsid w:val="00412FF8"/>
    <w:rsid w:val="00413D6A"/>
    <w:rsid w:val="0041488C"/>
    <w:rsid w:val="0041521F"/>
    <w:rsid w:val="0041663F"/>
    <w:rsid w:val="00420E3A"/>
    <w:rsid w:val="00421DD1"/>
    <w:rsid w:val="00426E4B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D0650"/>
    <w:rsid w:val="004D5F83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D6266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4422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8E2E64"/>
    <w:rsid w:val="00904CAD"/>
    <w:rsid w:val="0090730A"/>
    <w:rsid w:val="0091013D"/>
    <w:rsid w:val="0091241E"/>
    <w:rsid w:val="00914F1C"/>
    <w:rsid w:val="009170F7"/>
    <w:rsid w:val="009238FF"/>
    <w:rsid w:val="00924E4B"/>
    <w:rsid w:val="00933317"/>
    <w:rsid w:val="009459B7"/>
    <w:rsid w:val="009462BE"/>
    <w:rsid w:val="0094792D"/>
    <w:rsid w:val="009522C1"/>
    <w:rsid w:val="009528BA"/>
    <w:rsid w:val="009618CF"/>
    <w:rsid w:val="0096205A"/>
    <w:rsid w:val="009620A7"/>
    <w:rsid w:val="009710B4"/>
    <w:rsid w:val="00971D69"/>
    <w:rsid w:val="00974219"/>
    <w:rsid w:val="0098695B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013"/>
    <w:rsid w:val="00A16A23"/>
    <w:rsid w:val="00A33A4A"/>
    <w:rsid w:val="00A3784C"/>
    <w:rsid w:val="00A61AC7"/>
    <w:rsid w:val="00A646AF"/>
    <w:rsid w:val="00A8026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918D0"/>
    <w:rsid w:val="00B96C91"/>
    <w:rsid w:val="00BA27A0"/>
    <w:rsid w:val="00BB48C1"/>
    <w:rsid w:val="00BC2FE8"/>
    <w:rsid w:val="00BC543A"/>
    <w:rsid w:val="00BD573E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263EA"/>
    <w:rsid w:val="00D30CA2"/>
    <w:rsid w:val="00D346CA"/>
    <w:rsid w:val="00D37798"/>
    <w:rsid w:val="00D4682B"/>
    <w:rsid w:val="00D50CCC"/>
    <w:rsid w:val="00D53209"/>
    <w:rsid w:val="00D535CD"/>
    <w:rsid w:val="00D6324C"/>
    <w:rsid w:val="00D6332B"/>
    <w:rsid w:val="00D67F7A"/>
    <w:rsid w:val="00D73198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309DB"/>
    <w:rsid w:val="00E3556E"/>
    <w:rsid w:val="00E40E69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0CFC"/>
    <w:rsid w:val="00F04446"/>
    <w:rsid w:val="00F074AB"/>
    <w:rsid w:val="00F10B35"/>
    <w:rsid w:val="00F153D8"/>
    <w:rsid w:val="00F2129D"/>
    <w:rsid w:val="00F343EF"/>
    <w:rsid w:val="00F41120"/>
    <w:rsid w:val="00F730BB"/>
    <w:rsid w:val="00F7395C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547766F9-E998-4AB4-B524-7DEBD89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HYRCNR5SWDYV-532882092-48194</_dlc_DocId>
    <_dlc_DocIdUrl xmlns="b9360862-552f-4963-8e0f-4f94fc1c70f6">
      <Url>https://contatofortesec.sharepoint.com/sites/Controledeobrigaes/_layouts/15/DocIdRedir.aspx?ID=HYRCNR5SWDYV-532882092-48194</Url>
      <Description>HYRCNR5SWDYV-532882092-48194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5" ma:contentTypeDescription="Criar um novo documento." ma:contentTypeScope="" ma:versionID="bb6b98177ac6ebd5f4cf636610e49cf4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f999a98a36f3c33c103665baf0434f0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0C9529-E193-4C69-9664-722CD02FB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1599</Words>
  <Characters>8396</Characters>
  <Application>Microsoft Office Word</Application>
  <DocSecurity>0</DocSecurity>
  <Lines>204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Links>
    <vt:vector size="6" baseType="variant"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mailto:gestao@fortesec.com.br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Maisa Verdan</cp:lastModifiedBy>
  <cp:revision>11</cp:revision>
  <cp:lastPrinted>2023-03-29T23:12:00Z</cp:lastPrinted>
  <dcterms:created xsi:type="dcterms:W3CDTF">2023-09-18T18:26:00Z</dcterms:created>
  <dcterms:modified xsi:type="dcterms:W3CDTF">2024-01-30T21:44:00Z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0b0393a5-4104-453d-b9ed-8ba4c751653f</vt:lpwstr>
  </property>
  <property fmtid="{D5CDD505-2E9C-101B-9397-08002B2CF9AE}" pid="5" name="MediaServiceImageTags">
    <vt:lpwstr/>
  </property>
</Properties>
</file>