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041C643B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B04287">
        <w:rPr>
          <w:rFonts w:ascii="Open Sans" w:hAnsi="Open Sans" w:cs="Open Sans"/>
          <w:b/>
          <w:bCs/>
          <w:sz w:val="20"/>
          <w:szCs w:val="20"/>
        </w:rPr>
        <w:t xml:space="preserve">274ª </w:t>
      </w:r>
      <w:r w:rsidR="00B04287" w:rsidRPr="00F903F0">
        <w:rPr>
          <w:rFonts w:ascii="Open Sans" w:hAnsi="Open Sans" w:cs="Open Sans"/>
          <w:b/>
          <w:bCs/>
          <w:sz w:val="20"/>
          <w:szCs w:val="20"/>
        </w:rPr>
        <w:t xml:space="preserve">SÉRIE DA 1ª 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realizada em </w:t>
      </w:r>
      <w:r w:rsidR="009B545A">
        <w:rPr>
          <w:rFonts w:ascii="Open Sans" w:hAnsi="Open Sans" w:cs="Open Sans"/>
          <w:b/>
          <w:caps/>
          <w:sz w:val="20"/>
          <w:szCs w:val="20"/>
        </w:rPr>
        <w:t xml:space="preserve">SEGUNDA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B0428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9B545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9B545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NOVEMBRO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E46A2D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37B8CABB" w14:textId="77777777" w:rsidR="00D83881" w:rsidRPr="00524F7C" w:rsidRDefault="00D83881" w:rsidP="00D83881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524F7C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</w:t>
      </w:r>
      <w:r w:rsidRPr="00524F7C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524F7C">
        <w:rPr>
          <w:rFonts w:ascii="Open Sans" w:hAnsi="Open Sans" w:cs="Open Sans"/>
          <w:sz w:val="20"/>
          <w:szCs w:val="20"/>
        </w:rPr>
        <w:t>”), emitidas e apresentadas pela Emissora e disponibilizadas em seu Website (</w:t>
      </w:r>
      <w:hyperlink r:id="rId12" w:history="1">
        <w:r w:rsidRPr="00524F7C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524F7C">
        <w:rPr>
          <w:rFonts w:ascii="Open Sans" w:hAnsi="Open Sans" w:cs="Open Sans"/>
          <w:sz w:val="20"/>
          <w:szCs w:val="20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0233EAB" w14:textId="77777777" w:rsidR="00E021FD" w:rsidRDefault="000416F3" w:rsidP="00E021FD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524F7C">
        <w:rPr>
          <w:rFonts w:ascii="Open Sans" w:hAnsi="Open Sans" w:cs="Open Sans"/>
          <w:sz w:val="20"/>
          <w:szCs w:val="20"/>
        </w:rPr>
        <w:t xml:space="preserve">a aprovação, ou não, da alteração do Termo de Securitização para que as convocações de Assembleias Gerais possam ocorrer, a critério da Emissora: </w:t>
      </w:r>
      <w:r w:rsidRPr="00524F7C">
        <w:rPr>
          <w:rFonts w:ascii="Open Sans" w:hAnsi="Open Sans" w:cs="Open Sans"/>
          <w:b/>
          <w:bCs/>
          <w:sz w:val="20"/>
          <w:szCs w:val="20"/>
        </w:rPr>
        <w:t>(a)</w:t>
      </w:r>
      <w:r w:rsidRPr="00524F7C">
        <w:rPr>
          <w:rFonts w:ascii="Open Sans" w:hAnsi="Open Sans" w:cs="Open Sans"/>
          <w:sz w:val="20"/>
          <w:szCs w:val="20"/>
        </w:rPr>
        <w:t xml:space="preserve"> mediante publicação de edital em jornal de grande circulação utilizado pela Emissora para a divulgação de suas informações societárias, por 3 (três) vezes em dias consecutivos, com antecedência mínima de 20 (vinte) dias; </w:t>
      </w:r>
      <w:r w:rsidRPr="00524F7C">
        <w:rPr>
          <w:rFonts w:ascii="Open Sans" w:hAnsi="Open Sans" w:cs="Open Sans"/>
          <w:b/>
          <w:bCs/>
          <w:sz w:val="20"/>
          <w:szCs w:val="20"/>
          <w:u w:val="single"/>
        </w:rPr>
        <w:t>ou</w:t>
      </w:r>
      <w:r w:rsidRPr="00524F7C">
        <w:rPr>
          <w:rFonts w:ascii="Open Sans" w:hAnsi="Open Sans" w:cs="Open Sans"/>
          <w:sz w:val="20"/>
          <w:szCs w:val="20"/>
        </w:rPr>
        <w:t xml:space="preserve"> </w:t>
      </w:r>
      <w:r w:rsidRPr="00524F7C">
        <w:rPr>
          <w:rFonts w:ascii="Open Sans" w:hAnsi="Open Sans" w:cs="Open Sans"/>
          <w:b/>
          <w:bCs/>
          <w:sz w:val="20"/>
          <w:szCs w:val="20"/>
        </w:rPr>
        <w:t>(b)</w:t>
      </w:r>
      <w:r w:rsidRPr="00524F7C">
        <w:rPr>
          <w:rFonts w:ascii="Open Sans" w:hAnsi="Open Sans" w:cs="Open Sans"/>
          <w:sz w:val="20"/>
          <w:szCs w:val="20"/>
        </w:rPr>
        <w:t xml:space="preserve"> por meio de edital publicado no sítio eletrônico da Emissora, com antecedência mínima de 20 (vinte) dias, sem prejuízo do quanto previsto na Resolução CVM 60 a respeito da convocação de Assembleias Gerais; </w:t>
      </w:r>
    </w:p>
    <w:p w14:paraId="15142B9B" w14:textId="77777777" w:rsidR="00E021FD" w:rsidRDefault="00E021FD" w:rsidP="00E021FD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2E7BBD7" w14:textId="4D903230" w:rsidR="00C76229" w:rsidRDefault="00CC2561" w:rsidP="00E021FD">
      <w:pPr>
        <w:pStyle w:val="PargrafodaLista"/>
        <w:ind w:left="709"/>
        <w:contextualSpacing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E021FD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E021FD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E021FD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E021FD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E021FD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E021FD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E021FD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E021FD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1C70F05" w14:textId="77777777" w:rsidR="00E021FD" w:rsidRPr="00E021FD" w:rsidRDefault="00E021FD" w:rsidP="00E021FD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4E40198B" w14:textId="77777777" w:rsidR="00803FCA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0AF4F83" w14:textId="77777777" w:rsidR="005222A7" w:rsidRPr="00524F7C" w:rsidRDefault="005222A7" w:rsidP="005222A7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524F7C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0D80F5BB" w14:textId="77777777" w:rsidR="003A233D" w:rsidRPr="0006361F" w:rsidRDefault="003A233D" w:rsidP="003A233D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AD98FE6" w14:textId="77777777" w:rsidR="00380E67" w:rsidRPr="007A3B89" w:rsidRDefault="00380E67" w:rsidP="00380E6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7A2CB147" w14:textId="7BD2386A" w:rsidR="00C76229" w:rsidRPr="00C76229" w:rsidRDefault="00C76229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3CD8E229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 </w:t>
      </w:r>
      <w:r w:rsidR="000F48C5" w:rsidRPr="009B545A">
        <w:rPr>
          <w:rFonts w:ascii="Open Sans" w:hAnsi="Open Sans" w:cs="Open Sans"/>
          <w:sz w:val="20"/>
          <w:szCs w:val="20"/>
        </w:rPr>
        <w:t xml:space="preserve">274ª </w:t>
      </w:r>
      <w:r w:rsidR="009B545A">
        <w:rPr>
          <w:rFonts w:ascii="Open Sans" w:hAnsi="Open Sans" w:cs="Open Sans"/>
          <w:sz w:val="20"/>
          <w:szCs w:val="20"/>
        </w:rPr>
        <w:t>S</w:t>
      </w:r>
      <w:r w:rsidR="009B545A" w:rsidRPr="009B545A">
        <w:rPr>
          <w:rFonts w:ascii="Open Sans" w:hAnsi="Open Sans" w:cs="Open Sans"/>
          <w:sz w:val="20"/>
          <w:szCs w:val="20"/>
        </w:rPr>
        <w:t>érie</w:t>
      </w:r>
      <w:r w:rsidR="000F48C5" w:rsidRPr="009B545A">
        <w:rPr>
          <w:rFonts w:ascii="Open Sans" w:hAnsi="Open Sans" w:cs="Open Sans"/>
          <w:sz w:val="20"/>
          <w:szCs w:val="20"/>
        </w:rPr>
        <w:t xml:space="preserve"> </w:t>
      </w:r>
      <w:r w:rsidR="009B545A" w:rsidRPr="009B545A">
        <w:rPr>
          <w:rFonts w:ascii="Open Sans" w:hAnsi="Open Sans" w:cs="Open Sans"/>
          <w:sz w:val="20"/>
          <w:szCs w:val="20"/>
        </w:rPr>
        <w:t>da</w:t>
      </w:r>
      <w:r w:rsidR="000F48C5" w:rsidRPr="009B545A">
        <w:rPr>
          <w:rFonts w:ascii="Open Sans" w:hAnsi="Open Sans" w:cs="Open Sans"/>
          <w:sz w:val="20"/>
          <w:szCs w:val="20"/>
        </w:rPr>
        <w:t xml:space="preserve"> 1ª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>da</w:t>
      </w:r>
      <w:r w:rsidR="009B545A">
        <w:rPr>
          <w:rFonts w:ascii="Open Sans" w:hAnsi="Open Sans" w:cs="Open Sans"/>
          <w:sz w:val="20"/>
          <w:szCs w:val="20"/>
        </w:rPr>
        <w:t xml:space="preserve"> </w:t>
      </w:r>
      <w:r w:rsidR="009B545A" w:rsidRPr="009B545A">
        <w:rPr>
          <w:rFonts w:ascii="Open Sans" w:hAnsi="Open Sans" w:cs="Open Sans"/>
          <w:sz w:val="20"/>
          <w:szCs w:val="20"/>
        </w:rPr>
        <w:t xml:space="preserve">274ª </w:t>
      </w:r>
      <w:r w:rsidR="009B545A">
        <w:rPr>
          <w:rFonts w:ascii="Open Sans" w:hAnsi="Open Sans" w:cs="Open Sans"/>
          <w:sz w:val="20"/>
          <w:szCs w:val="20"/>
        </w:rPr>
        <w:t>S</w:t>
      </w:r>
      <w:r w:rsidR="009B545A" w:rsidRPr="009B545A">
        <w:rPr>
          <w:rFonts w:ascii="Open Sans" w:hAnsi="Open Sans" w:cs="Open Sans"/>
          <w:sz w:val="20"/>
          <w:szCs w:val="20"/>
        </w:rPr>
        <w:t xml:space="preserve">érie da 1ª </w:t>
      </w:r>
      <w:r w:rsidR="009B545A" w:rsidRPr="007A3B89">
        <w:rPr>
          <w:rFonts w:ascii="Open Sans" w:hAnsi="Open Sans" w:cs="Open Sans"/>
          <w:color w:val="000000" w:themeColor="text1"/>
          <w:sz w:val="20"/>
          <w:szCs w:val="20"/>
        </w:rPr>
        <w:t>Emissão</w:t>
      </w:r>
      <w:r w:rsidR="009B545A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6B4B1F" w:rsidRPr="006B4B1F">
        <w:rPr>
          <w:rFonts w:ascii="Open Sans" w:hAnsi="Open Sans" w:cs="Open Sans"/>
          <w:color w:val="000000" w:themeColor="text1"/>
          <w:sz w:val="20"/>
          <w:szCs w:val="20"/>
        </w:rPr>
        <w:t>08 de Agosto de 2019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D40CA7" w:rsidRPr="00D40CA7">
        <w:rPr>
          <w:rFonts w:ascii="Open Sans" w:hAnsi="Open Sans" w:cs="Open Sans"/>
          <w:sz w:val="20"/>
          <w:szCs w:val="20"/>
        </w:rPr>
        <w:t>Reag  Distribuidora de Títulos e Valores Mobiliários S.A</w:t>
      </w:r>
      <w:r w:rsidR="00D06E52" w:rsidRPr="008F7527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B75B6" w14:textId="77777777" w:rsidR="003C79B9" w:rsidRDefault="003C79B9" w:rsidP="00421DD1">
      <w:r>
        <w:separator/>
      </w:r>
    </w:p>
  </w:endnote>
  <w:endnote w:type="continuationSeparator" w:id="0">
    <w:p w14:paraId="4A41106B" w14:textId="77777777" w:rsidR="003C79B9" w:rsidRDefault="003C79B9" w:rsidP="00421DD1">
      <w:r>
        <w:continuationSeparator/>
      </w:r>
    </w:p>
  </w:endnote>
  <w:endnote w:type="continuationNotice" w:id="1">
    <w:p w14:paraId="0598F077" w14:textId="77777777" w:rsidR="003C79B9" w:rsidRDefault="003C7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F09A3" w14:textId="77777777" w:rsidR="003C79B9" w:rsidRDefault="003C79B9" w:rsidP="00421DD1">
      <w:r>
        <w:separator/>
      </w:r>
    </w:p>
  </w:footnote>
  <w:footnote w:type="continuationSeparator" w:id="0">
    <w:p w14:paraId="5C496EE4" w14:textId="77777777" w:rsidR="003C79B9" w:rsidRDefault="003C79B9" w:rsidP="00421DD1">
      <w:r>
        <w:continuationSeparator/>
      </w:r>
    </w:p>
  </w:footnote>
  <w:footnote w:type="continuationNotice" w:id="1">
    <w:p w14:paraId="34655BA5" w14:textId="77777777" w:rsidR="003C79B9" w:rsidRDefault="003C79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6F64"/>
    <w:rsid w:val="00037358"/>
    <w:rsid w:val="0004143F"/>
    <w:rsid w:val="000416F3"/>
    <w:rsid w:val="0004230C"/>
    <w:rsid w:val="000604A2"/>
    <w:rsid w:val="000728FB"/>
    <w:rsid w:val="000733AC"/>
    <w:rsid w:val="00085619"/>
    <w:rsid w:val="000876FB"/>
    <w:rsid w:val="000A24E0"/>
    <w:rsid w:val="000A2D3A"/>
    <w:rsid w:val="000B003E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48C5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53B5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C79B9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4E73DF"/>
    <w:rsid w:val="005004CF"/>
    <w:rsid w:val="0050100E"/>
    <w:rsid w:val="00506301"/>
    <w:rsid w:val="0051082E"/>
    <w:rsid w:val="005222A7"/>
    <w:rsid w:val="005224D1"/>
    <w:rsid w:val="005230C1"/>
    <w:rsid w:val="005340FE"/>
    <w:rsid w:val="005344D8"/>
    <w:rsid w:val="005350A6"/>
    <w:rsid w:val="00536B59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5F7961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1F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8F12D9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557"/>
    <w:rsid w:val="009B3D1E"/>
    <w:rsid w:val="009B545A"/>
    <w:rsid w:val="009C0546"/>
    <w:rsid w:val="009C14A5"/>
    <w:rsid w:val="009D17C4"/>
    <w:rsid w:val="009D4A6E"/>
    <w:rsid w:val="009E75AE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4287"/>
    <w:rsid w:val="00B0580D"/>
    <w:rsid w:val="00B1061E"/>
    <w:rsid w:val="00B10674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059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0CA7"/>
    <w:rsid w:val="00D4682B"/>
    <w:rsid w:val="00D50CCC"/>
    <w:rsid w:val="00D53209"/>
    <w:rsid w:val="00D535CD"/>
    <w:rsid w:val="00D6332B"/>
    <w:rsid w:val="00D67F7A"/>
    <w:rsid w:val="00D73198"/>
    <w:rsid w:val="00D83881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1FD"/>
    <w:rsid w:val="00E02B84"/>
    <w:rsid w:val="00E04800"/>
    <w:rsid w:val="00E309DB"/>
    <w:rsid w:val="00E3556E"/>
    <w:rsid w:val="00E432D3"/>
    <w:rsid w:val="00E43384"/>
    <w:rsid w:val="00E44B39"/>
    <w:rsid w:val="00E457AF"/>
    <w:rsid w:val="00E46A2D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HYRCNR5SWDYV-532882092-181094</_dlc_DocId>
    <_dlc_DocIdUrl xmlns="b9360862-552f-4963-8e0f-4f94fc1c70f6">
      <Url>https://contatofortesec.sharepoint.com/sites/Controledeobrigaes/_layouts/15/DocIdRedir.aspx?ID=HYRCNR5SWDYV-532882092-181094</Url>
      <Description>HYRCNR5SWDYV-532882092-181094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9113F8-EDBB-4795-9705-C0E11ABF7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1219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27</cp:revision>
  <cp:lastPrinted>2024-10-30T21:25:00Z</cp:lastPrinted>
  <dcterms:created xsi:type="dcterms:W3CDTF">2023-12-22T20:04:00Z</dcterms:created>
  <dcterms:modified xsi:type="dcterms:W3CDTF">2024-10-30T21:26:00Z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MediaServiceImageTags">
    <vt:lpwstr/>
  </property>
  <property fmtid="{D5CDD505-2E9C-101B-9397-08002B2CF9AE}" pid="5" name="_dlc_DocIdItemGuid">
    <vt:lpwstr>29757dd1-8f4b-44b9-bfd0-cc137ed540b8</vt:lpwstr>
  </property>
</Properties>
</file>