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47C5AAFA" w:rsidR="00FB0D24" w:rsidRPr="003C42C2" w:rsidRDefault="00FB0D24" w:rsidP="003C42C2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3C42C2" w:rsidRPr="003C42C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168ª, 169ª, 170ª, 171ª, 172ª E 173ª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FB3F2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23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FB3F2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FB3F2D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 em segunda convocação</w:t>
      </w:r>
      <w:r w:rsidR="00BC0A55">
        <w:rPr>
          <w:rFonts w:ascii="Open Sans" w:hAnsi="Open Sans" w:cs="Open Sans"/>
          <w:b/>
          <w:sz w:val="20"/>
          <w:szCs w:val="20"/>
        </w:rPr>
        <w:t xml:space="preserve"> EM </w:t>
      </w:r>
      <w:r w:rsidR="00BC0A55" w:rsidRPr="00556D60">
        <w:rPr>
          <w:rFonts w:ascii="Open Sans" w:hAnsi="Open Sans" w:cs="Open Sans"/>
          <w:b/>
          <w:bCs/>
          <w:sz w:val="20"/>
          <w:szCs w:val="20"/>
        </w:rPr>
        <w:t>14 DE NOVEMBRO DE 2024</w:t>
      </w:r>
      <w:r w:rsidR="00BC0A55">
        <w:rPr>
          <w:rFonts w:ascii="Open Sans" w:hAnsi="Open Sans" w:cs="Open Sans"/>
          <w:b/>
          <w:bC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701D4E10" w:rsidR="00EB63E0" w:rsidRPr="00AE1C7D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AE1C7D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AE1C7D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AE1C7D">
        <w:rPr>
          <w:rFonts w:ascii="Open Sans" w:hAnsi="Open Sans" w:cs="Open Sans"/>
          <w:sz w:val="20"/>
          <w:szCs w:val="20"/>
        </w:rPr>
        <w:t xml:space="preserve">) </w:t>
      </w:r>
      <w:r w:rsidR="007443FA" w:rsidRPr="00AE1C7D">
        <w:rPr>
          <w:rFonts w:ascii="Open Sans" w:hAnsi="Open Sans" w:cs="Open Sans"/>
          <w:sz w:val="20"/>
          <w:szCs w:val="20"/>
        </w:rPr>
        <w:t>com abstenção de opinião</w:t>
      </w:r>
      <w:r w:rsidRPr="00AE1C7D">
        <w:rPr>
          <w:rFonts w:ascii="Open Sans" w:hAnsi="Open Sans" w:cs="Open Sans"/>
          <w:sz w:val="20"/>
          <w:szCs w:val="20"/>
        </w:rPr>
        <w:t xml:space="preserve">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C9EB48B" w14:textId="77777777" w:rsidR="00A44087" w:rsidRPr="00F903F0" w:rsidRDefault="00A44087" w:rsidP="00A4408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0CBF920F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1F795B" w:rsidRPr="001F795B">
        <w:rPr>
          <w:rFonts w:ascii="Open Sans" w:hAnsi="Open Sans" w:cs="Open Sans"/>
          <w:sz w:val="20"/>
          <w:szCs w:val="20"/>
        </w:rPr>
        <w:t xml:space="preserve">168ª, 169ª, 170ª, 171ª, 172ª </w:t>
      </w:r>
      <w:r w:rsidR="001F795B">
        <w:rPr>
          <w:rFonts w:ascii="Open Sans" w:hAnsi="Open Sans" w:cs="Open Sans"/>
          <w:sz w:val="20"/>
          <w:szCs w:val="20"/>
        </w:rPr>
        <w:t>e</w:t>
      </w:r>
      <w:r w:rsidR="001F795B" w:rsidRPr="001F795B">
        <w:rPr>
          <w:rFonts w:ascii="Open Sans" w:hAnsi="Open Sans" w:cs="Open Sans"/>
          <w:sz w:val="20"/>
          <w:szCs w:val="20"/>
        </w:rPr>
        <w:t xml:space="preserve"> 173ª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1F795B" w:rsidRPr="001F795B">
        <w:rPr>
          <w:rFonts w:ascii="Open Sans" w:hAnsi="Open Sans" w:cs="Open Sans"/>
          <w:sz w:val="20"/>
          <w:szCs w:val="20"/>
        </w:rPr>
        <w:t xml:space="preserve">168ª, 169ª, 170ª, 171ª, 172ª </w:t>
      </w:r>
      <w:r w:rsidR="001F795B">
        <w:rPr>
          <w:rFonts w:ascii="Open Sans" w:hAnsi="Open Sans" w:cs="Open Sans"/>
          <w:sz w:val="20"/>
          <w:szCs w:val="20"/>
        </w:rPr>
        <w:t>e</w:t>
      </w:r>
      <w:r w:rsidR="001F795B" w:rsidRPr="001F795B">
        <w:rPr>
          <w:rFonts w:ascii="Open Sans" w:hAnsi="Open Sans" w:cs="Open Sans"/>
          <w:sz w:val="20"/>
          <w:szCs w:val="20"/>
        </w:rPr>
        <w:t xml:space="preserve"> 173ª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C40F9F" w:rsidRPr="001B54C4">
        <w:rPr>
          <w:rFonts w:ascii="Open Sans" w:hAnsi="Open Sans" w:cs="Open Sans"/>
          <w:color w:val="000000" w:themeColor="text1"/>
          <w:sz w:val="20"/>
          <w:szCs w:val="20"/>
        </w:rPr>
        <w:t>15</w:t>
      </w:r>
      <w:r w:rsidR="000D05DF" w:rsidRPr="001B54C4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C40F9F" w:rsidRPr="001B54C4">
        <w:rPr>
          <w:rFonts w:ascii="Open Sans" w:hAnsi="Open Sans" w:cs="Open Sans"/>
          <w:color w:val="000000" w:themeColor="text1"/>
          <w:sz w:val="20"/>
          <w:szCs w:val="20"/>
        </w:rPr>
        <w:t>maio</w:t>
      </w:r>
      <w:r w:rsidR="000D05DF" w:rsidRPr="001B54C4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C40F9F" w:rsidRPr="001B54C4">
        <w:rPr>
          <w:rFonts w:ascii="Open Sans" w:hAnsi="Open Sans" w:cs="Open Sans"/>
          <w:color w:val="000000" w:themeColor="text1"/>
          <w:sz w:val="20"/>
          <w:szCs w:val="20"/>
        </w:rPr>
        <w:t>2018</w:t>
      </w:r>
      <w:r w:rsidR="00DC023B" w:rsidRPr="001B54C4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0C624D" w:rsidRPr="001B54C4">
        <w:rPr>
          <w:rFonts w:ascii="Open Sans" w:hAnsi="Open Sans" w:cs="Open Sans"/>
          <w:sz w:val="20"/>
          <w:szCs w:val="20"/>
        </w:rPr>
        <w:t>Vórtx</w:t>
      </w:r>
      <w:r w:rsidR="001B54C4" w:rsidRPr="001B54C4">
        <w:rPr>
          <w:rFonts w:ascii="Open Sans" w:hAnsi="Open Sans" w:cs="Open Sans"/>
          <w:sz w:val="20"/>
          <w:szCs w:val="20"/>
        </w:rPr>
        <w:t xml:space="preserve"> Distribuidora de Títulos e Valores Mobiliários LTDA.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Caso a Emissora e o Agente Fiduciário recebam mais de uma Instrução de Voto do mesmo Titular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5A765" w14:textId="77777777" w:rsidR="004171D8" w:rsidRDefault="004171D8" w:rsidP="00421DD1">
      <w:r>
        <w:separator/>
      </w:r>
    </w:p>
  </w:endnote>
  <w:endnote w:type="continuationSeparator" w:id="0">
    <w:p w14:paraId="691D47D5" w14:textId="77777777" w:rsidR="004171D8" w:rsidRDefault="004171D8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D1C2F" w14:textId="77777777" w:rsidR="004171D8" w:rsidRDefault="004171D8" w:rsidP="00421DD1">
      <w:r>
        <w:separator/>
      </w:r>
    </w:p>
  </w:footnote>
  <w:footnote w:type="continuationSeparator" w:id="0">
    <w:p w14:paraId="0713D6E5" w14:textId="77777777" w:rsidR="004171D8" w:rsidRDefault="004171D8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94DC3"/>
    <w:rsid w:val="000A24E0"/>
    <w:rsid w:val="000A2D3A"/>
    <w:rsid w:val="000B198B"/>
    <w:rsid w:val="000B2178"/>
    <w:rsid w:val="000B28B4"/>
    <w:rsid w:val="000B7506"/>
    <w:rsid w:val="000C624D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962DF"/>
    <w:rsid w:val="001A3ED7"/>
    <w:rsid w:val="001B54C4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1F795B"/>
    <w:rsid w:val="00207A8F"/>
    <w:rsid w:val="00212955"/>
    <w:rsid w:val="002137BE"/>
    <w:rsid w:val="002178FA"/>
    <w:rsid w:val="0022278E"/>
    <w:rsid w:val="002262EA"/>
    <w:rsid w:val="002324A3"/>
    <w:rsid w:val="00234F32"/>
    <w:rsid w:val="002408B2"/>
    <w:rsid w:val="0024169B"/>
    <w:rsid w:val="00245C1D"/>
    <w:rsid w:val="00262A56"/>
    <w:rsid w:val="002631E9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C42C2"/>
    <w:rsid w:val="003D7443"/>
    <w:rsid w:val="003E2A2B"/>
    <w:rsid w:val="003E46A9"/>
    <w:rsid w:val="003E53AE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171D8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B339F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2729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3FA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667EB"/>
    <w:rsid w:val="00866FA5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8F465E"/>
    <w:rsid w:val="00904CAD"/>
    <w:rsid w:val="0091013D"/>
    <w:rsid w:val="0091241E"/>
    <w:rsid w:val="00914F1C"/>
    <w:rsid w:val="009238FF"/>
    <w:rsid w:val="00924E4B"/>
    <w:rsid w:val="00933317"/>
    <w:rsid w:val="0094282F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44B1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E1C7D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0A5D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0A55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0F9F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537BD"/>
    <w:rsid w:val="00F62E3C"/>
    <w:rsid w:val="00F730BB"/>
    <w:rsid w:val="00F80A5F"/>
    <w:rsid w:val="00F85F1F"/>
    <w:rsid w:val="00F91067"/>
    <w:rsid w:val="00FA6FDB"/>
    <w:rsid w:val="00FA7669"/>
    <w:rsid w:val="00FB0D24"/>
    <w:rsid w:val="00FB3F2D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HYRCNR5SWDYV-532882092-182041</_dlc_DocId>
    <_dlc_DocIdUrl xmlns="b9360862-552f-4963-8e0f-4f94fc1c70f6">
      <Url>https://contatofortesec.sharepoint.com/sites/Controledeobrigaes/_layouts/15/DocIdRedir.aspx?ID=HYRCNR5SWDYV-532882092-182041</Url>
      <Description>HYRCNR5SWDYV-532882092-182041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1246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28</cp:revision>
  <cp:lastPrinted>2024-10-24T18:32:00Z</cp:lastPrinted>
  <dcterms:created xsi:type="dcterms:W3CDTF">2023-12-22T20:04:00Z</dcterms:created>
  <dcterms:modified xsi:type="dcterms:W3CDTF">2024-10-24T18:32:00Z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c7e5bd2e-67fe-4ccc-81d7-f90ed47d3d4b</vt:lpwstr>
  </property>
  <property fmtid="{D5CDD505-2E9C-101B-9397-08002B2CF9AE}" pid="5" name="MediaServiceImageTags">
    <vt:lpwstr/>
  </property>
</Properties>
</file>