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F91B09F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r w:rsidR="00426E4B" w:rsidRPr="009C31D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457ª, 458ª, 459ª, 460ª, 461ª E 462ª</w:t>
      </w:r>
      <w:r w:rsidR="00C91FAB" w:rsidRPr="00C91FA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3F32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</w:t>
      </w:r>
      <w:r w:rsidR="002E3F3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</w:t>
      </w:r>
      <w:r w:rsidR="0065216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52161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9B0454">
        <w:rPr>
          <w:rFonts w:ascii="Open Sans" w:hAnsi="Open Sans" w:cs="Open Sans"/>
          <w:b/>
          <w:bCs/>
          <w:caps/>
          <w:sz w:val="20"/>
          <w:szCs w:val="20"/>
        </w:rPr>
        <w:t>17 de janeiro de 2025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F04544A" w14:textId="754E714E" w:rsidR="009462BE" w:rsidRDefault="00A122B1" w:rsidP="00974219">
      <w:pPr>
        <w:pStyle w:val="PargrafodaLista"/>
        <w:numPr>
          <w:ilvl w:val="0"/>
          <w:numId w:val="13"/>
        </w:numPr>
        <w:spacing w:line="276" w:lineRule="auto"/>
        <w:ind w:left="0" w:firstLine="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A </w:t>
      </w:r>
      <w:r w:rsidRPr="00A122B1">
        <w:rPr>
          <w:rFonts w:ascii="Open Sans" w:hAnsi="Open Sans" w:cs="Open Sans"/>
          <w:color w:val="000000" w:themeColor="text1"/>
          <w:sz w:val="20"/>
          <w:szCs w:val="20"/>
        </w:rPr>
        <w:t>concessão de waiver à GTR e aos Fiadores no sentido de a Securitizadora sustar os efeitos do Vencimento Antecipado das CCB e a Recompra Total dos Créditos Imobiliários Frações Imobiliárias, declarado e exigido, respectivamente, em 05 de maio de 2023, conforme deliberado na Assembleia Geral de 03 de maio de 2023, assim como de waiver à GTR pelo descumprimento da obrigação prevista na cláusula 8.17 do Termo de Securitização, correspondente à manutenção da Razão de Garantia do Fluxo Mensal como equivalente a, pelo menos, 120% (cento e vinte por cento) das Obrigações Garantidas a partir de abril de 2023, bem como pelo descumprimento, pela GTR, das obrigações pecuniárias vinculadas ao pagamento da Amortização Programada e Remuneração das CCB e dos CRI entre abril de 2023 (inclusive) e novembro de 2023 (inclusive), observado que o saldo devedor não adimplido das CCB e dos CRI nos eventos acima mencionados foi incorporado ao saldo devedor total das CCB e dos CRI(“Concessão de Waiver”)</w:t>
      </w:r>
      <w:r w:rsidR="009462BE">
        <w:rPr>
          <w:rFonts w:ascii="Open Sans" w:hAnsi="Open Sans" w:cs="Open Sans"/>
          <w:color w:val="000000" w:themeColor="text1"/>
          <w:sz w:val="20"/>
          <w:szCs w:val="20"/>
        </w:rPr>
        <w:t xml:space="preserve">; </w:t>
      </w:r>
    </w:p>
    <w:p w14:paraId="7F256F45" w14:textId="77777777" w:rsidR="00F75522" w:rsidRPr="00A33A4A" w:rsidRDefault="00F75522" w:rsidP="00F7552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A2AA9F8" w14:textId="77777777" w:rsidR="00F75522" w:rsidRPr="007A3B89" w:rsidRDefault="00F75522" w:rsidP="00F7552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1C76B55" w14:textId="77777777" w:rsidR="00F75522" w:rsidRDefault="00F75522" w:rsidP="00F75522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B7DE02E" w14:textId="77777777" w:rsidR="00E141B6" w:rsidRDefault="00E141B6" w:rsidP="00E141B6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2DC4355" w14:textId="22879444" w:rsidR="00181B45" w:rsidRDefault="00F75522" w:rsidP="009B0454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proofErr w:type="spellEnd"/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E40E69" w:rsidRPr="57E044DB">
        <w:rPr>
          <w:rFonts w:ascii="Open Sans" w:hAnsi="Open Sans" w:cs="Open Sans"/>
          <w:color w:val="000000" w:themeColor="text1"/>
          <w:sz w:val="20"/>
          <w:szCs w:val="20"/>
        </w:rPr>
        <w:t>a aprovação, ou não</w:t>
      </w:r>
      <w:r w:rsidR="009B045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da alteração </w:t>
      </w:r>
      <w:r w:rsidR="00E65937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(a) 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do Anexo II do Termo de Securitização pelo Anexo A ao Edital, e, consequentemente, a ratificação dos pagamentos realizados até a presente data e a concessão de carência à GTR Hotéis e Resort Ltda. no pagamento das parcelas de Amortização dos 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CRI, vincendas entre os meses de Janeiro de 2024 (inclusive) e Junho de 2025 (inclusive) ("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  <w:u w:val="single"/>
        </w:rPr>
        <w:t>Concessão de Carência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"), ressaltado que a presente deliberação se dará em caráter retroativo no que diz respeito às Amortizações Programadas de 2024; e </w:t>
      </w:r>
      <w:r w:rsidR="00E65937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(b) </w:t>
      </w:r>
      <w:r w:rsidR="00E65937" w:rsidRPr="009A0475">
        <w:rPr>
          <w:rFonts w:ascii="Open Sans" w:hAnsi="Open Sans" w:cs="Open Sans"/>
          <w:color w:val="000000" w:themeColor="text1"/>
          <w:sz w:val="20"/>
          <w:szCs w:val="20"/>
        </w:rPr>
        <w:t>da Data de Vencimento Final dos CRI e da CCB, para que passe a ser em 22 de julho de 2030</w:t>
      </w:r>
    </w:p>
    <w:p w14:paraId="7508C0C7" w14:textId="77777777" w:rsidR="009462BE" w:rsidRDefault="009462BE" w:rsidP="00181B45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6EC8276" w14:textId="77777777" w:rsidR="00181B45" w:rsidRPr="007A3B89" w:rsidRDefault="00181B45" w:rsidP="00181B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A55B871" w14:textId="77777777" w:rsidR="00181B45" w:rsidRPr="007A3B89" w:rsidRDefault="00181B45" w:rsidP="00181B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066148C" w14:textId="77777777" w:rsidR="00D01D28" w:rsidRDefault="00D01D28" w:rsidP="00D01D28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C858754" w14:textId="31DD4C40" w:rsidR="00D01D28" w:rsidRDefault="00D01D28" w:rsidP="00D01D28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proofErr w:type="spellEnd"/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Pr="57E044DB">
        <w:rPr>
          <w:rFonts w:ascii="Open Sans" w:hAnsi="Open Sans" w:cs="Open Sans"/>
          <w:color w:val="000000" w:themeColor="text1"/>
          <w:sz w:val="20"/>
          <w:szCs w:val="20"/>
        </w:rPr>
        <w:t>a aprovação, ou não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da alteração da taxa efetiva dos juros, isto é, da </w:t>
      </w:r>
      <w:r w:rsidR="00955623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Remuneração dos CRI Seniores, CRI Mezanino e CRI Subordinados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, para que passem, após a Data de Pagamento de 20 dezembro de 2024, respectivamente, a corresponder a </w:t>
      </w:r>
      <w:r w:rsidR="00955623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6,322%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 (seis inteiros e trezentos e vinte e dois milésimos por cento) ao ano, </w:t>
      </w:r>
      <w:r w:rsidR="00955623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8,322%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 (oito inteiros e trezentos e vinte e dois milésimos por cento) ao ano e </w:t>
      </w:r>
      <w:r w:rsidR="00955623" w:rsidRPr="009A04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12,122%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 xml:space="preserve"> (doze inteiros e cento e vinte e dois milésimos por cento) ao ano, considerando a base de 252 (duzentos e cinquenta e dois) Dias Úteis anuais (“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  <w:u w:val="single"/>
        </w:rPr>
        <w:t>Nova Remuneração dos CRI</w:t>
      </w:r>
      <w:r w:rsidR="00955623" w:rsidRPr="009A0475">
        <w:rPr>
          <w:rFonts w:ascii="Open Sans" w:hAnsi="Open Sans" w:cs="Open Sans"/>
          <w:color w:val="000000" w:themeColor="text1"/>
          <w:sz w:val="20"/>
          <w:szCs w:val="20"/>
        </w:rPr>
        <w:t>”), de modo que na Data de Pagamento de 20 de janeiro de 2025 passe a ser aplicada a Nova Remuneração dos CRI</w:t>
      </w:r>
    </w:p>
    <w:p w14:paraId="29A5992E" w14:textId="77777777" w:rsidR="00D01D28" w:rsidRDefault="00D01D28" w:rsidP="00D01D28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50F23055" w14:textId="77777777" w:rsidR="00D01D28" w:rsidRPr="007A3B89" w:rsidRDefault="00D01D28" w:rsidP="00D01D28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763516AD" w14:textId="77777777" w:rsidR="00D01D28" w:rsidRPr="007A3B89" w:rsidRDefault="00D01D28" w:rsidP="00D01D28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D11E964" w14:textId="77777777" w:rsidR="00181B45" w:rsidRDefault="00181B45" w:rsidP="00181B45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3336119" w14:textId="3D07E34A" w:rsidR="00181B45" w:rsidRDefault="00181B45" w:rsidP="00181B45">
      <w:pPr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9B045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 w:rsidR="00D01D2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9462BE">
        <w:rPr>
          <w:rFonts w:ascii="Open Sans" w:hAnsi="Open Sans" w:cs="Open Sans"/>
          <w:color w:val="000000" w:themeColor="text1"/>
          <w:sz w:val="20"/>
          <w:szCs w:val="20"/>
        </w:rPr>
        <w:t xml:space="preserve">a </w:t>
      </w:r>
      <w:r w:rsidR="009462BE" w:rsidRPr="0076515E">
        <w:rPr>
          <w:rFonts w:ascii="Open Sans" w:hAnsi="Open Sans" w:cs="Open Sans"/>
          <w:color w:val="000000" w:themeColor="text1"/>
          <w:sz w:val="20"/>
          <w:szCs w:val="20"/>
        </w:rPr>
        <w:t xml:space="preserve">autorização para que o Agente Fiduciário e a Securitizadora pratiquem todo e qualquer ato, celebrem todos e quaisquer contratos, aditamentos ou documentos necessários para a efetivação e implementação das matérias constantes da Ordem do Dia nos documentos relacionados aos </w:t>
      </w:r>
      <w:r w:rsidR="009462BE">
        <w:rPr>
          <w:rFonts w:ascii="Open Sans" w:hAnsi="Open Sans" w:cs="Open Sans"/>
          <w:color w:val="000000" w:themeColor="text1"/>
          <w:sz w:val="20"/>
          <w:szCs w:val="20"/>
        </w:rPr>
        <w:t>CRI, bem como da ratificação dos atos praticados e medidas adotadas pela Securitizadora até a presente data.</w:t>
      </w:r>
    </w:p>
    <w:p w14:paraId="094DCDE1" w14:textId="77777777" w:rsidR="00B918D0" w:rsidRDefault="00B918D0" w:rsidP="00B918D0">
      <w:pPr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8DFE4E4" w14:textId="77777777" w:rsidR="00B918D0" w:rsidRPr="007A3B89" w:rsidRDefault="00B918D0" w:rsidP="00B918D0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05CC27E" w14:textId="77777777" w:rsidR="00B918D0" w:rsidRPr="007A3B89" w:rsidRDefault="00B918D0" w:rsidP="00B918D0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1987C9E" w14:textId="77777777" w:rsidR="00B918D0" w:rsidRDefault="00B918D0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3135FC5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2E3F32" w:rsidRPr="007A3B89" w14:paraId="0F60EDAB" w14:textId="77777777" w:rsidTr="00A16013">
        <w:tc>
          <w:tcPr>
            <w:tcW w:w="2835" w:type="dxa"/>
          </w:tcPr>
          <w:p w14:paraId="2ED5FE44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62885017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27576F2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464E54E5" w14:textId="77777777" w:rsidTr="00A16013">
        <w:tc>
          <w:tcPr>
            <w:tcW w:w="2835" w:type="dxa"/>
          </w:tcPr>
          <w:p w14:paraId="148A851A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2120F0F7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07C90841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2E3F32" w:rsidRPr="007A3B89" w14:paraId="6F542ECF" w14:textId="77777777" w:rsidTr="00A16013">
        <w:tc>
          <w:tcPr>
            <w:tcW w:w="2835" w:type="dxa"/>
          </w:tcPr>
          <w:p w14:paraId="461BA045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2CE0510F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265B2" w14:textId="77777777" w:rsidR="002E3F32" w:rsidRPr="007A3B89" w:rsidRDefault="002E3F32" w:rsidP="00A16013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149EE579" w14:textId="77777777" w:rsidR="002E3F32" w:rsidRDefault="002E3F32" w:rsidP="002E3F32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0DD5CF6" w14:textId="77777777" w:rsidR="005164C2" w:rsidRDefault="005164C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7BBA3056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4D62A74" w:rsidR="00FB0D24" w:rsidRPr="00426E4B" w:rsidRDefault="00FB0D24" w:rsidP="0041488C">
      <w:pPr>
        <w:pStyle w:val="Estilo"/>
        <w:jc w:val="both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="00426E4B" w:rsidRPr="00CE2DD5">
        <w:rPr>
          <w:rFonts w:ascii="Open Sans" w:hAnsi="Open Sans" w:cs="Open Sans"/>
          <w:sz w:val="20"/>
          <w:szCs w:val="20"/>
        </w:rPr>
        <w:t>das</w:t>
      </w:r>
      <w:proofErr w:type="spellEnd"/>
      <w:r w:rsidR="00426E4B" w:rsidRPr="00CE2DD5">
        <w:rPr>
          <w:rFonts w:ascii="Open Sans" w:hAnsi="Open Sans" w:cs="Open Sans"/>
          <w:sz w:val="20"/>
          <w:szCs w:val="20"/>
        </w:rPr>
        <w:t xml:space="preserve"> </w:t>
      </w:r>
      <w:r w:rsidR="00426E4B" w:rsidRPr="009C31D9">
        <w:rPr>
          <w:rFonts w:ascii="Open Sans" w:hAnsi="Open Sans" w:cs="Open Sans"/>
          <w:sz w:val="20"/>
          <w:szCs w:val="20"/>
        </w:rPr>
        <w:t xml:space="preserve">457ª, 458ª, 459ª, 460ª, 461ª </w:t>
      </w:r>
      <w:r w:rsidR="00426E4B">
        <w:rPr>
          <w:rFonts w:ascii="Open Sans" w:hAnsi="Open Sans" w:cs="Open Sans"/>
          <w:sz w:val="20"/>
          <w:szCs w:val="20"/>
        </w:rPr>
        <w:t>e</w:t>
      </w:r>
      <w:r w:rsidR="00426E4B" w:rsidRPr="009C31D9">
        <w:rPr>
          <w:rFonts w:ascii="Open Sans" w:hAnsi="Open Sans" w:cs="Open Sans"/>
          <w:sz w:val="20"/>
          <w:szCs w:val="20"/>
        </w:rPr>
        <w:t xml:space="preserve"> 462ª</w:t>
      </w:r>
      <w:r w:rsidR="00426E4B">
        <w:rPr>
          <w:rFonts w:ascii="Open Sans" w:hAnsi="Open Sans" w:cs="Open Sans"/>
          <w:sz w:val="20"/>
          <w:szCs w:val="20"/>
        </w:rPr>
        <w:t xml:space="preserve"> </w:t>
      </w:r>
      <w:r w:rsidR="00426E4B" w:rsidRPr="009F758A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="00426E4B"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692652" w:rsidRPr="009F758A">
        <w:rPr>
          <w:rFonts w:ascii="Open Sans" w:hAnsi="Open Sans" w:cs="Open Sans"/>
          <w:color w:val="000000" w:themeColor="text1"/>
          <w:sz w:val="20"/>
          <w:szCs w:val="20"/>
        </w:rPr>
        <w:t>da 1ª</w:t>
      </w:r>
      <w:r w:rsidR="00692652"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Emissão</w:t>
      </w:r>
      <w:r w:rsidR="00692652" w:rsidRPr="00CE2DD5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</w:t>
      </w:r>
      <w:r w:rsidRPr="00371E44">
        <w:rPr>
          <w:rFonts w:ascii="Open Sans" w:hAnsi="Open Sans" w:cs="Open Sans"/>
          <w:sz w:val="20"/>
          <w:szCs w:val="20"/>
          <w:shd w:val="clear" w:color="auto" w:fill="FFFFFF"/>
        </w:rPr>
        <w:t xml:space="preserve">lhes for atribuído no </w:t>
      </w:r>
      <w:r w:rsidR="00481AC4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371E44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426E4B" w:rsidRPr="00426E4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das</w:t>
      </w:r>
      <w:proofErr w:type="spellEnd"/>
      <w:r w:rsidR="00426E4B" w:rsidRPr="00426E4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457ª, 458ª, 459ª, 460ª, 461ª e 462ª Séries </w:t>
      </w:r>
      <w:r w:rsidR="00692652" w:rsidRPr="00371E4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da 1ª Emissão</w:t>
      </w:r>
      <w:r w:rsidR="00692652" w:rsidRPr="00371E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81AC4" w:rsidRPr="00371E44">
        <w:rPr>
          <w:rFonts w:ascii="Open Sans" w:hAnsi="Open Sans" w:cs="Open Sans"/>
          <w:i/>
          <w:iCs/>
          <w:sz w:val="20"/>
          <w:szCs w:val="20"/>
        </w:rPr>
        <w:t>de Certificados de Recebíveis Imobiliários da</w:t>
      </w:r>
      <w:r w:rsidRPr="00371E44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371E44">
        <w:rPr>
          <w:rFonts w:ascii="Open Sans" w:hAnsi="Open Sans" w:cs="Open Sans"/>
          <w:iCs/>
          <w:sz w:val="20"/>
          <w:szCs w:val="20"/>
        </w:rPr>
        <w:t>,</w:t>
      </w:r>
      <w:r w:rsidRPr="00371E44">
        <w:rPr>
          <w:rFonts w:ascii="Open Sans" w:hAnsi="Open Sans" w:cs="Open Sans"/>
          <w:sz w:val="20"/>
          <w:szCs w:val="20"/>
        </w:rPr>
        <w:t xml:space="preserve"> </w:t>
      </w:r>
      <w:r w:rsidR="00DC023B" w:rsidRPr="00371E44">
        <w:rPr>
          <w:rFonts w:ascii="Open Sans" w:hAnsi="Open Sans" w:cs="Open Sans"/>
          <w:sz w:val="20"/>
          <w:szCs w:val="20"/>
        </w:rPr>
        <w:t>datado de</w:t>
      </w:r>
      <w:r w:rsidR="00BB48C1" w:rsidRPr="00371E44">
        <w:rPr>
          <w:rFonts w:ascii="Open Sans" w:hAnsi="Open Sans" w:cs="Open Sans"/>
          <w:sz w:val="20"/>
          <w:szCs w:val="20"/>
        </w:rPr>
        <w:t xml:space="preserve"> </w:t>
      </w:r>
      <w:r w:rsidR="00C91FAB">
        <w:rPr>
          <w:rFonts w:ascii="Open Sans" w:hAnsi="Open Sans" w:cs="Open Sans"/>
          <w:sz w:val="20"/>
          <w:szCs w:val="20"/>
        </w:rPr>
        <w:t xml:space="preserve">15 de </w:t>
      </w:r>
      <w:r w:rsidR="00426E4B">
        <w:rPr>
          <w:rFonts w:ascii="Open Sans" w:hAnsi="Open Sans" w:cs="Open Sans"/>
          <w:sz w:val="20"/>
          <w:szCs w:val="20"/>
        </w:rPr>
        <w:t>julho</w:t>
      </w:r>
      <w:r w:rsidR="00817B60">
        <w:rPr>
          <w:rFonts w:ascii="Open Sans" w:hAnsi="Open Sans" w:cs="Open Sans"/>
          <w:sz w:val="20"/>
          <w:szCs w:val="20"/>
        </w:rPr>
        <w:t xml:space="preserve"> de 20</w:t>
      </w:r>
      <w:r w:rsidR="002E3F32">
        <w:rPr>
          <w:rFonts w:ascii="Open Sans" w:hAnsi="Open Sans" w:cs="Open Sans"/>
          <w:sz w:val="20"/>
          <w:szCs w:val="20"/>
        </w:rPr>
        <w:t>2</w:t>
      </w:r>
      <w:r w:rsidR="00426E4B">
        <w:rPr>
          <w:rFonts w:ascii="Open Sans" w:hAnsi="Open Sans" w:cs="Open Sans"/>
          <w:sz w:val="20"/>
          <w:szCs w:val="20"/>
        </w:rPr>
        <w:t>0</w:t>
      </w:r>
      <w:r w:rsidR="00DC023B" w:rsidRPr="00371E44">
        <w:rPr>
          <w:rFonts w:ascii="Open Sans" w:hAnsi="Open Sans" w:cs="Open Sans"/>
          <w:sz w:val="20"/>
          <w:szCs w:val="20"/>
        </w:rPr>
        <w:t xml:space="preserve">, </w:t>
      </w:r>
      <w:r w:rsidRPr="00371E44">
        <w:rPr>
          <w:rFonts w:ascii="Open Sans" w:hAnsi="Open Sans" w:cs="Open Sans"/>
          <w:sz w:val="20"/>
          <w:szCs w:val="20"/>
        </w:rPr>
        <w:t xml:space="preserve">entre a Emissora e a </w:t>
      </w:r>
      <w:r w:rsidR="00426E4B">
        <w:rPr>
          <w:rFonts w:ascii="Open Sans" w:hAnsi="Open Sans" w:cs="Open Sans"/>
          <w:sz w:val="20"/>
          <w:szCs w:val="20"/>
        </w:rPr>
        <w:t>VX PAVARINI</w:t>
      </w:r>
      <w:r w:rsidR="00426E4B" w:rsidRPr="00185CE9">
        <w:rPr>
          <w:rFonts w:ascii="Open Sans" w:hAnsi="Open Sans" w:cs="Open Sans"/>
          <w:sz w:val="20"/>
          <w:szCs w:val="20"/>
        </w:rPr>
        <w:t xml:space="preserve"> DISTRIBUIDORA DE TÍTULOS E VALORES MOBILIÁRIOS LTDA., instituição financeira, com sede na Cidade de São Paulo, Estado de São Paulo, na Rua </w:t>
      </w:r>
      <w:r w:rsidR="00426E4B">
        <w:rPr>
          <w:rFonts w:ascii="Open Sans" w:hAnsi="Open Sans" w:cs="Open Sans"/>
          <w:sz w:val="20"/>
          <w:szCs w:val="20"/>
        </w:rPr>
        <w:t>Joaquim Floriano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nº </w:t>
      </w:r>
      <w:r w:rsidR="00426E4B">
        <w:rPr>
          <w:rFonts w:ascii="Open Sans" w:hAnsi="Open Sans" w:cs="Open Sans"/>
          <w:sz w:val="20"/>
          <w:szCs w:val="20"/>
        </w:rPr>
        <w:t>466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426E4B">
        <w:rPr>
          <w:rFonts w:ascii="Open Sans" w:hAnsi="Open Sans" w:cs="Open Sans"/>
          <w:sz w:val="20"/>
          <w:szCs w:val="20"/>
        </w:rPr>
        <w:t>bloco B</w:t>
      </w:r>
      <w:r w:rsidR="00426E4B" w:rsidRPr="00185CE9">
        <w:rPr>
          <w:rFonts w:ascii="Open Sans" w:hAnsi="Open Sans" w:cs="Open Sans"/>
          <w:sz w:val="20"/>
          <w:szCs w:val="20"/>
        </w:rPr>
        <w:t xml:space="preserve">, </w:t>
      </w:r>
      <w:r w:rsidR="00426E4B">
        <w:rPr>
          <w:rFonts w:ascii="Open Sans" w:hAnsi="Open Sans" w:cs="Open Sans"/>
          <w:sz w:val="20"/>
          <w:szCs w:val="20"/>
        </w:rPr>
        <w:t xml:space="preserve">conj. 1401, CEP 04534-002, </w:t>
      </w:r>
      <w:r w:rsidR="00426E4B" w:rsidRPr="00185CE9">
        <w:rPr>
          <w:rFonts w:ascii="Open Sans" w:hAnsi="Open Sans" w:cs="Open Sans"/>
          <w:sz w:val="20"/>
          <w:szCs w:val="20"/>
        </w:rPr>
        <w:t xml:space="preserve">inscrita no CNPJ/ME sob o nº </w:t>
      </w:r>
      <w:r w:rsidR="00426E4B" w:rsidRPr="002E3F32">
        <w:rPr>
          <w:rFonts w:ascii="Open Sans" w:hAnsi="Open Sans" w:cs="Open Sans"/>
          <w:sz w:val="20"/>
          <w:szCs w:val="20"/>
        </w:rPr>
        <w:t>15.227.994/0004-01</w:t>
      </w:r>
      <w:r w:rsidR="00185CE9" w:rsidRPr="00185CE9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7BC42182" w14:textId="77777777" w:rsidR="009B272A" w:rsidRDefault="009B272A" w:rsidP="009B272A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BE5D90A" w14:textId="205DDE2C" w:rsidR="009B272A" w:rsidRDefault="009B272A" w:rsidP="009B272A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 w:rsidR="00DA01A0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DA01A0"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5164C2">
      <w:pPr>
        <w:pStyle w:val="Estilo"/>
        <w:spacing w:line="240" w:lineRule="exact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3AD3C006" w:rsidR="001306A5" w:rsidRPr="00876CCA" w:rsidRDefault="007D4422" w:rsidP="007D4422">
      <w:pPr>
        <w:pStyle w:val="Estilo"/>
        <w:spacing w:line="240" w:lineRule="exact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D4422">
        <w:rPr>
          <w:rFonts w:ascii="Open Sans" w:hAnsi="Open Sans" w:cs="Open Sans"/>
          <w:sz w:val="20"/>
          <w:szCs w:val="20"/>
          <w:shd w:val="clear" w:color="auto" w:fill="FFFFFF"/>
        </w:rPr>
        <w:t xml:space="preserve">Ademais, a Securitizadora se coloca à disposição dos Titulares de CRI para prestar outros esclarecimentos que porventura se façam necessários, os quais poderão ser solicitados por meio de envio de comunicação ao endereço eletrônico </w:t>
      </w:r>
      <w:hyperlink r:id="rId12" w:history="1">
        <w:r w:rsidRPr="00AB19EC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gestao@fortesec.com.br</w:t>
        </w:r>
      </w:hyperlink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sectPr w:rsidR="001306A5" w:rsidRPr="00876CCA" w:rsidSect="00A16013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DE80" w14:textId="77777777" w:rsidR="00BE35AC" w:rsidRDefault="00BE35AC" w:rsidP="00421DD1">
      <w:r>
        <w:separator/>
      </w:r>
    </w:p>
  </w:endnote>
  <w:endnote w:type="continuationSeparator" w:id="0">
    <w:p w14:paraId="553B6F98" w14:textId="77777777" w:rsidR="00BE35AC" w:rsidRDefault="00BE35AC" w:rsidP="00421DD1">
      <w:r>
        <w:continuationSeparator/>
      </w:r>
    </w:p>
  </w:endnote>
  <w:endnote w:type="continuationNotice" w:id="1">
    <w:p w14:paraId="61EAADEF" w14:textId="77777777" w:rsidR="00130DA3" w:rsidRDefault="0013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239390"/>
      <w:docPartObj>
        <w:docPartGallery w:val="Page Numbers (Bottom of Page)"/>
        <w:docPartUnique/>
      </w:docPartObj>
    </w:sdtPr>
    <w:sdtEndPr/>
    <w:sdtContent>
      <w:sdt>
        <w:sdtPr>
          <w:id w:val="-1495097522"/>
          <w:docPartObj>
            <w:docPartGallery w:val="Page Numbers (Top of Page)"/>
            <w:docPartUnique/>
          </w:docPartObj>
        </w:sdtPr>
        <w:sdtEndPr/>
        <w:sdtContent>
          <w:p w14:paraId="1F7061B0" w14:textId="77777777" w:rsidR="009B272A" w:rsidRDefault="00DF17A2" w:rsidP="00A16013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5B67" w14:textId="77777777" w:rsidR="00BE35AC" w:rsidRDefault="00BE35AC" w:rsidP="00421DD1">
      <w:r>
        <w:separator/>
      </w:r>
    </w:p>
  </w:footnote>
  <w:footnote w:type="continuationSeparator" w:id="0">
    <w:p w14:paraId="542FABA3" w14:textId="77777777" w:rsidR="00BE35AC" w:rsidRDefault="00BE35AC" w:rsidP="00421DD1">
      <w:r>
        <w:continuationSeparator/>
      </w:r>
    </w:p>
  </w:footnote>
  <w:footnote w:type="continuationNotice" w:id="1">
    <w:p w14:paraId="5E4BEA37" w14:textId="77777777" w:rsidR="00130DA3" w:rsidRDefault="00130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447C" w14:textId="77777777" w:rsidR="009B272A" w:rsidRDefault="00DF17A2" w:rsidP="00A16013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8EE66F" wp14:editId="7E2B14F3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9428A8" w14:textId="77777777" w:rsidR="009B272A" w:rsidRDefault="009B27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DB7"/>
    <w:multiLevelType w:val="hybridMultilevel"/>
    <w:tmpl w:val="BC0498BC"/>
    <w:lvl w:ilvl="0" w:tplc="6FBCF2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4194C"/>
    <w:multiLevelType w:val="hybridMultilevel"/>
    <w:tmpl w:val="5246AEBA"/>
    <w:lvl w:ilvl="0" w:tplc="1386395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A08B6"/>
    <w:multiLevelType w:val="hybridMultilevel"/>
    <w:tmpl w:val="0BC4CF7C"/>
    <w:lvl w:ilvl="0" w:tplc="6808674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10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4"/>
  </w:num>
  <w:num w:numId="9" w16cid:durableId="1076433941">
    <w:abstractNumId w:val="11"/>
  </w:num>
  <w:num w:numId="10" w16cid:durableId="1870993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9"/>
  </w:num>
  <w:num w:numId="13" w16cid:durableId="2060321044">
    <w:abstractNumId w:val="13"/>
  </w:num>
  <w:num w:numId="14" w16cid:durableId="17395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510136">
    <w:abstractNumId w:val="8"/>
  </w:num>
  <w:num w:numId="16" w16cid:durableId="1740320910">
    <w:abstractNumId w:val="6"/>
  </w:num>
  <w:num w:numId="17" w16cid:durableId="11364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4972"/>
    <w:rsid w:val="00006426"/>
    <w:rsid w:val="000072AF"/>
    <w:rsid w:val="00032FB4"/>
    <w:rsid w:val="000334DF"/>
    <w:rsid w:val="00037358"/>
    <w:rsid w:val="0004143F"/>
    <w:rsid w:val="0004230C"/>
    <w:rsid w:val="000604A2"/>
    <w:rsid w:val="000728FB"/>
    <w:rsid w:val="000733AC"/>
    <w:rsid w:val="00074424"/>
    <w:rsid w:val="00084825"/>
    <w:rsid w:val="00085619"/>
    <w:rsid w:val="000876FB"/>
    <w:rsid w:val="000A24E0"/>
    <w:rsid w:val="000B198B"/>
    <w:rsid w:val="000B2178"/>
    <w:rsid w:val="000B28B4"/>
    <w:rsid w:val="000B7506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06E6"/>
    <w:rsid w:val="00120FFC"/>
    <w:rsid w:val="00121850"/>
    <w:rsid w:val="001306A5"/>
    <w:rsid w:val="00130DA3"/>
    <w:rsid w:val="00135CED"/>
    <w:rsid w:val="00136BE7"/>
    <w:rsid w:val="001377F1"/>
    <w:rsid w:val="00146305"/>
    <w:rsid w:val="00152103"/>
    <w:rsid w:val="00155920"/>
    <w:rsid w:val="001626E6"/>
    <w:rsid w:val="00172C61"/>
    <w:rsid w:val="00174178"/>
    <w:rsid w:val="00180328"/>
    <w:rsid w:val="00181B45"/>
    <w:rsid w:val="00182879"/>
    <w:rsid w:val="001833FF"/>
    <w:rsid w:val="00184FC6"/>
    <w:rsid w:val="00185CE9"/>
    <w:rsid w:val="00193DF5"/>
    <w:rsid w:val="001A3ED7"/>
    <w:rsid w:val="001B1A96"/>
    <w:rsid w:val="001B6CCE"/>
    <w:rsid w:val="001C3567"/>
    <w:rsid w:val="001C38AC"/>
    <w:rsid w:val="001C72A9"/>
    <w:rsid w:val="001D2B7F"/>
    <w:rsid w:val="001E125A"/>
    <w:rsid w:val="001E3E7C"/>
    <w:rsid w:val="001F020C"/>
    <w:rsid w:val="00207A8F"/>
    <w:rsid w:val="00212B44"/>
    <w:rsid w:val="002137BE"/>
    <w:rsid w:val="002178FA"/>
    <w:rsid w:val="00221421"/>
    <w:rsid w:val="002324A3"/>
    <w:rsid w:val="00234F32"/>
    <w:rsid w:val="00234FD6"/>
    <w:rsid w:val="002408B2"/>
    <w:rsid w:val="0024169B"/>
    <w:rsid w:val="00245C1D"/>
    <w:rsid w:val="00262A56"/>
    <w:rsid w:val="00266ABF"/>
    <w:rsid w:val="00275C9C"/>
    <w:rsid w:val="00283472"/>
    <w:rsid w:val="00284A4D"/>
    <w:rsid w:val="00287D67"/>
    <w:rsid w:val="00292A8C"/>
    <w:rsid w:val="00293AEE"/>
    <w:rsid w:val="00297076"/>
    <w:rsid w:val="002B483B"/>
    <w:rsid w:val="002B7997"/>
    <w:rsid w:val="002C16F1"/>
    <w:rsid w:val="002C5EA8"/>
    <w:rsid w:val="002E3F32"/>
    <w:rsid w:val="002E7BBD"/>
    <w:rsid w:val="002F6E67"/>
    <w:rsid w:val="00300504"/>
    <w:rsid w:val="00305C0E"/>
    <w:rsid w:val="00310DC6"/>
    <w:rsid w:val="00313C81"/>
    <w:rsid w:val="003274E8"/>
    <w:rsid w:val="00330015"/>
    <w:rsid w:val="00330961"/>
    <w:rsid w:val="0033167B"/>
    <w:rsid w:val="003330CB"/>
    <w:rsid w:val="00343E17"/>
    <w:rsid w:val="00351F1F"/>
    <w:rsid w:val="00352FD7"/>
    <w:rsid w:val="0035667F"/>
    <w:rsid w:val="00363BBD"/>
    <w:rsid w:val="00371E44"/>
    <w:rsid w:val="00382222"/>
    <w:rsid w:val="003854BB"/>
    <w:rsid w:val="003955DD"/>
    <w:rsid w:val="003A2265"/>
    <w:rsid w:val="003A6F95"/>
    <w:rsid w:val="003B391C"/>
    <w:rsid w:val="003C64B4"/>
    <w:rsid w:val="003D7443"/>
    <w:rsid w:val="003E2533"/>
    <w:rsid w:val="003E2A2B"/>
    <w:rsid w:val="003E46A9"/>
    <w:rsid w:val="003E67E3"/>
    <w:rsid w:val="003E7367"/>
    <w:rsid w:val="003E7EE3"/>
    <w:rsid w:val="003F11A1"/>
    <w:rsid w:val="004073E9"/>
    <w:rsid w:val="00407DC5"/>
    <w:rsid w:val="00410B23"/>
    <w:rsid w:val="00412FF8"/>
    <w:rsid w:val="00413D6A"/>
    <w:rsid w:val="0041488C"/>
    <w:rsid w:val="0041663F"/>
    <w:rsid w:val="00420E3A"/>
    <w:rsid w:val="00421DD1"/>
    <w:rsid w:val="00426E4B"/>
    <w:rsid w:val="00440241"/>
    <w:rsid w:val="004404DE"/>
    <w:rsid w:val="004417DB"/>
    <w:rsid w:val="00444178"/>
    <w:rsid w:val="00445A73"/>
    <w:rsid w:val="00454C20"/>
    <w:rsid w:val="00461090"/>
    <w:rsid w:val="00465348"/>
    <w:rsid w:val="00475319"/>
    <w:rsid w:val="00477297"/>
    <w:rsid w:val="00481AC4"/>
    <w:rsid w:val="00483DFE"/>
    <w:rsid w:val="004A08F8"/>
    <w:rsid w:val="004B051C"/>
    <w:rsid w:val="004C06AF"/>
    <w:rsid w:val="004C0AF9"/>
    <w:rsid w:val="004C2358"/>
    <w:rsid w:val="004C4CA8"/>
    <w:rsid w:val="004D0650"/>
    <w:rsid w:val="004D5F83"/>
    <w:rsid w:val="004E27B5"/>
    <w:rsid w:val="005004CF"/>
    <w:rsid w:val="0050100E"/>
    <w:rsid w:val="00506301"/>
    <w:rsid w:val="0051082E"/>
    <w:rsid w:val="005164C2"/>
    <w:rsid w:val="005224D1"/>
    <w:rsid w:val="005230C1"/>
    <w:rsid w:val="005344D8"/>
    <w:rsid w:val="005350A6"/>
    <w:rsid w:val="00545A99"/>
    <w:rsid w:val="00556F6B"/>
    <w:rsid w:val="005603A8"/>
    <w:rsid w:val="005614DB"/>
    <w:rsid w:val="00570E9C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140C"/>
    <w:rsid w:val="00624069"/>
    <w:rsid w:val="00624D73"/>
    <w:rsid w:val="006501DC"/>
    <w:rsid w:val="00650D59"/>
    <w:rsid w:val="00652161"/>
    <w:rsid w:val="00653819"/>
    <w:rsid w:val="00662D2D"/>
    <w:rsid w:val="0066565B"/>
    <w:rsid w:val="0066631F"/>
    <w:rsid w:val="006803E4"/>
    <w:rsid w:val="006866FD"/>
    <w:rsid w:val="00690690"/>
    <w:rsid w:val="00691921"/>
    <w:rsid w:val="00692652"/>
    <w:rsid w:val="006C5150"/>
    <w:rsid w:val="006C7A91"/>
    <w:rsid w:val="006D39DD"/>
    <w:rsid w:val="006D6266"/>
    <w:rsid w:val="006F1735"/>
    <w:rsid w:val="006F3165"/>
    <w:rsid w:val="00703F00"/>
    <w:rsid w:val="00711F1A"/>
    <w:rsid w:val="007266FC"/>
    <w:rsid w:val="00736439"/>
    <w:rsid w:val="007370A4"/>
    <w:rsid w:val="0074072E"/>
    <w:rsid w:val="00744720"/>
    <w:rsid w:val="00752D9A"/>
    <w:rsid w:val="00790460"/>
    <w:rsid w:val="00792A15"/>
    <w:rsid w:val="0079733C"/>
    <w:rsid w:val="007A1185"/>
    <w:rsid w:val="007A3B89"/>
    <w:rsid w:val="007A5DD2"/>
    <w:rsid w:val="007A79C3"/>
    <w:rsid w:val="007B24C9"/>
    <w:rsid w:val="007B2A2E"/>
    <w:rsid w:val="007C2E90"/>
    <w:rsid w:val="007D4422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17B60"/>
    <w:rsid w:val="0082045C"/>
    <w:rsid w:val="00834DBE"/>
    <w:rsid w:val="00835B59"/>
    <w:rsid w:val="00840295"/>
    <w:rsid w:val="00847395"/>
    <w:rsid w:val="00860FA0"/>
    <w:rsid w:val="0086322A"/>
    <w:rsid w:val="00871DF6"/>
    <w:rsid w:val="00890ADF"/>
    <w:rsid w:val="00890E4B"/>
    <w:rsid w:val="00894061"/>
    <w:rsid w:val="00896EF0"/>
    <w:rsid w:val="008A1E03"/>
    <w:rsid w:val="008A53A0"/>
    <w:rsid w:val="008C0701"/>
    <w:rsid w:val="008C3134"/>
    <w:rsid w:val="008D6695"/>
    <w:rsid w:val="008E2E64"/>
    <w:rsid w:val="00904CAD"/>
    <w:rsid w:val="0090730A"/>
    <w:rsid w:val="0091013D"/>
    <w:rsid w:val="0091241E"/>
    <w:rsid w:val="00914F1C"/>
    <w:rsid w:val="009170F7"/>
    <w:rsid w:val="009238FF"/>
    <w:rsid w:val="00924E4B"/>
    <w:rsid w:val="00933317"/>
    <w:rsid w:val="009459B7"/>
    <w:rsid w:val="009462BE"/>
    <w:rsid w:val="0094792D"/>
    <w:rsid w:val="009522C1"/>
    <w:rsid w:val="009528BA"/>
    <w:rsid w:val="00955623"/>
    <w:rsid w:val="009618CF"/>
    <w:rsid w:val="0096205A"/>
    <w:rsid w:val="009620A7"/>
    <w:rsid w:val="009710B4"/>
    <w:rsid w:val="00971D69"/>
    <w:rsid w:val="00974219"/>
    <w:rsid w:val="0098695B"/>
    <w:rsid w:val="00994215"/>
    <w:rsid w:val="00994F59"/>
    <w:rsid w:val="00995B5A"/>
    <w:rsid w:val="009B0454"/>
    <w:rsid w:val="009B267D"/>
    <w:rsid w:val="009B272A"/>
    <w:rsid w:val="009B3D1E"/>
    <w:rsid w:val="009C0546"/>
    <w:rsid w:val="009C14A5"/>
    <w:rsid w:val="009D17C4"/>
    <w:rsid w:val="009E776C"/>
    <w:rsid w:val="009F41DB"/>
    <w:rsid w:val="009F6304"/>
    <w:rsid w:val="00A036BA"/>
    <w:rsid w:val="00A122B1"/>
    <w:rsid w:val="00A1394D"/>
    <w:rsid w:val="00A16013"/>
    <w:rsid w:val="00A16A23"/>
    <w:rsid w:val="00A33A4A"/>
    <w:rsid w:val="00A3784C"/>
    <w:rsid w:val="00A61AC7"/>
    <w:rsid w:val="00A646AF"/>
    <w:rsid w:val="00A674CF"/>
    <w:rsid w:val="00A80260"/>
    <w:rsid w:val="00A94B13"/>
    <w:rsid w:val="00A95826"/>
    <w:rsid w:val="00A964AD"/>
    <w:rsid w:val="00AA7020"/>
    <w:rsid w:val="00AB33CC"/>
    <w:rsid w:val="00AC487E"/>
    <w:rsid w:val="00AC51E1"/>
    <w:rsid w:val="00AC6D95"/>
    <w:rsid w:val="00AD2A2E"/>
    <w:rsid w:val="00AF1712"/>
    <w:rsid w:val="00AF1BF6"/>
    <w:rsid w:val="00AF1D2E"/>
    <w:rsid w:val="00AF29D9"/>
    <w:rsid w:val="00B0580D"/>
    <w:rsid w:val="00B1061E"/>
    <w:rsid w:val="00B116E8"/>
    <w:rsid w:val="00B15C01"/>
    <w:rsid w:val="00B26FBF"/>
    <w:rsid w:val="00B31430"/>
    <w:rsid w:val="00B36D7F"/>
    <w:rsid w:val="00B4515C"/>
    <w:rsid w:val="00B63CA6"/>
    <w:rsid w:val="00B70208"/>
    <w:rsid w:val="00B715C6"/>
    <w:rsid w:val="00B87750"/>
    <w:rsid w:val="00B918D0"/>
    <w:rsid w:val="00B96C91"/>
    <w:rsid w:val="00BA27A0"/>
    <w:rsid w:val="00BB48C1"/>
    <w:rsid w:val="00BC2FE8"/>
    <w:rsid w:val="00BC543A"/>
    <w:rsid w:val="00BD573E"/>
    <w:rsid w:val="00BD7A6F"/>
    <w:rsid w:val="00BE35AC"/>
    <w:rsid w:val="00BF0670"/>
    <w:rsid w:val="00BF7C0A"/>
    <w:rsid w:val="00C01606"/>
    <w:rsid w:val="00C01C0E"/>
    <w:rsid w:val="00C02664"/>
    <w:rsid w:val="00C044ED"/>
    <w:rsid w:val="00C27A78"/>
    <w:rsid w:val="00C3003E"/>
    <w:rsid w:val="00C305B1"/>
    <w:rsid w:val="00C34EBD"/>
    <w:rsid w:val="00C403CD"/>
    <w:rsid w:val="00C41816"/>
    <w:rsid w:val="00C42CED"/>
    <w:rsid w:val="00C46852"/>
    <w:rsid w:val="00C47836"/>
    <w:rsid w:val="00C61A29"/>
    <w:rsid w:val="00C80162"/>
    <w:rsid w:val="00C80210"/>
    <w:rsid w:val="00C823F1"/>
    <w:rsid w:val="00C91FAB"/>
    <w:rsid w:val="00C9245B"/>
    <w:rsid w:val="00C96AD9"/>
    <w:rsid w:val="00C97EB7"/>
    <w:rsid w:val="00CA0037"/>
    <w:rsid w:val="00CA6105"/>
    <w:rsid w:val="00CB2856"/>
    <w:rsid w:val="00CB432E"/>
    <w:rsid w:val="00CC2561"/>
    <w:rsid w:val="00CC7C51"/>
    <w:rsid w:val="00CE23C9"/>
    <w:rsid w:val="00CE2F12"/>
    <w:rsid w:val="00CF7875"/>
    <w:rsid w:val="00CF78BE"/>
    <w:rsid w:val="00CF7DFC"/>
    <w:rsid w:val="00D00339"/>
    <w:rsid w:val="00D01D28"/>
    <w:rsid w:val="00D02935"/>
    <w:rsid w:val="00D06E52"/>
    <w:rsid w:val="00D13935"/>
    <w:rsid w:val="00D2620B"/>
    <w:rsid w:val="00D30CA2"/>
    <w:rsid w:val="00D346CA"/>
    <w:rsid w:val="00D37798"/>
    <w:rsid w:val="00D4682B"/>
    <w:rsid w:val="00D50CCC"/>
    <w:rsid w:val="00D53209"/>
    <w:rsid w:val="00D535CD"/>
    <w:rsid w:val="00D6324C"/>
    <w:rsid w:val="00D6332B"/>
    <w:rsid w:val="00D67F7A"/>
    <w:rsid w:val="00D73198"/>
    <w:rsid w:val="00D92C2E"/>
    <w:rsid w:val="00D96E5D"/>
    <w:rsid w:val="00DA01A0"/>
    <w:rsid w:val="00DB2915"/>
    <w:rsid w:val="00DB7A87"/>
    <w:rsid w:val="00DC023B"/>
    <w:rsid w:val="00DD08DA"/>
    <w:rsid w:val="00DF17A2"/>
    <w:rsid w:val="00DF608D"/>
    <w:rsid w:val="00DF651C"/>
    <w:rsid w:val="00E01E0D"/>
    <w:rsid w:val="00E02B84"/>
    <w:rsid w:val="00E04800"/>
    <w:rsid w:val="00E05246"/>
    <w:rsid w:val="00E141B6"/>
    <w:rsid w:val="00E309DB"/>
    <w:rsid w:val="00E3556E"/>
    <w:rsid w:val="00E40E69"/>
    <w:rsid w:val="00E432D3"/>
    <w:rsid w:val="00E44B39"/>
    <w:rsid w:val="00E457AF"/>
    <w:rsid w:val="00E52D47"/>
    <w:rsid w:val="00E542B2"/>
    <w:rsid w:val="00E547A4"/>
    <w:rsid w:val="00E55133"/>
    <w:rsid w:val="00E62513"/>
    <w:rsid w:val="00E626A6"/>
    <w:rsid w:val="00E64E49"/>
    <w:rsid w:val="00E65937"/>
    <w:rsid w:val="00E7575C"/>
    <w:rsid w:val="00E7670C"/>
    <w:rsid w:val="00E82114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C4BEA"/>
    <w:rsid w:val="00ED0EE2"/>
    <w:rsid w:val="00ED45DF"/>
    <w:rsid w:val="00EF3527"/>
    <w:rsid w:val="00F00CFC"/>
    <w:rsid w:val="00F04446"/>
    <w:rsid w:val="00F074AB"/>
    <w:rsid w:val="00F10B35"/>
    <w:rsid w:val="00F153D8"/>
    <w:rsid w:val="00F2129D"/>
    <w:rsid w:val="00F343EF"/>
    <w:rsid w:val="00F41120"/>
    <w:rsid w:val="00F730BB"/>
    <w:rsid w:val="00F7395C"/>
    <w:rsid w:val="00F75522"/>
    <w:rsid w:val="00F80A5F"/>
    <w:rsid w:val="00F85F1F"/>
    <w:rsid w:val="00F91067"/>
    <w:rsid w:val="00FA1DE4"/>
    <w:rsid w:val="00FA6FDB"/>
    <w:rsid w:val="00FA7669"/>
    <w:rsid w:val="00FA7D2C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547766F9-E998-4AB4-B524-7DEBD89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37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stao@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9" ma:contentTypeDescription="Crie um novo documento." ma:contentTypeScope="" ma:versionID="0305143ddca1e97cee6590f99384cfc3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8312ee38d18eb2745602aab2992b9669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FSV622TP5J5Y-1298124658-136168</_dlc_DocId>
    <_dlc_DocIdUrl xmlns="63cd3888-6dce-4879-9d02-778ca5cf9668">
      <Url>https://contatofortesec.sharepoint.com/sites/Juridico/_layouts/15/DocIdRedir.aspx?ID=FSV622TP5J5Y-1298124658-136168</Url>
      <Description>FSV622TP5J5Y-1298124658-136168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A8B29-C2A5-42CA-A91F-B2A2B17AC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1505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Links>
    <vt:vector size="6" baseType="variant"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mailto:gestao@fortesec.com.br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Gabriel Leal Sena</cp:lastModifiedBy>
  <cp:revision>15</cp:revision>
  <cp:lastPrinted>2023-03-29T23:12:00Z</cp:lastPrinted>
  <dcterms:created xsi:type="dcterms:W3CDTF">2023-09-18T18:26:00Z</dcterms:created>
  <dcterms:modified xsi:type="dcterms:W3CDTF">2024-12-27T14:16:00Z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72b7d5d4-3087-4a44-bb4a-195a5cb0c442</vt:lpwstr>
  </property>
  <property fmtid="{D5CDD505-2E9C-101B-9397-08002B2CF9AE}" pid="5" name="MediaServiceImageTags">
    <vt:lpwstr/>
  </property>
</Properties>
</file>