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1CB4C" w14:textId="725BF584" w:rsidR="008A1E03" w:rsidRPr="00C74E26" w:rsidRDefault="00FB0D24" w:rsidP="00C74E26">
      <w:pPr>
        <w:spacing w:before="280" w:after="140" w:line="290" w:lineRule="auto"/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C74E26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 w:rsidRPr="00C74E26">
        <w:rPr>
          <w:rFonts w:ascii="Open Sans" w:hAnsi="Open Sans" w:cs="Open Sans"/>
          <w:b/>
          <w:caps/>
          <w:sz w:val="20"/>
          <w:szCs w:val="20"/>
        </w:rPr>
        <w:t>A</w:t>
      </w:r>
      <w:r w:rsidRPr="00C74E26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79A5250A" w14:textId="77777777" w:rsidR="00CD4974" w:rsidRDefault="0082045C" w:rsidP="00CD4974">
      <w:pPr>
        <w:spacing w:before="280" w:after="140" w:line="290" w:lineRule="auto"/>
        <w:contextualSpacing/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C74E2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</w:t>
      </w:r>
      <w:r w:rsidR="00AA303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GERAL</w:t>
      </w:r>
      <w:r w:rsidRPr="00C74E2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TITULARES </w:t>
      </w:r>
      <w:r w:rsidR="00BC2FE8" w:rsidRPr="00C74E2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DOS</w:t>
      </w:r>
      <w:r w:rsidR="00AD40C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C74E2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</w:t>
      </w:r>
      <w:r w:rsidR="0080368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DO AGRONEGÓCIO</w:t>
      </w:r>
      <w:r w:rsidR="00677EB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B021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1ª </w:t>
      </w:r>
      <w:r w:rsidR="00AA303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 2ª SÉRIES</w:t>
      </w:r>
      <w:r w:rsidR="009F6CBC" w:rsidRPr="00C74E2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E432D3" w:rsidRPr="00C74E2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677EB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</w:t>
      </w:r>
      <w:r w:rsidR="00E432D3" w:rsidRPr="00C74E2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</w:t>
      </w:r>
      <w:r w:rsidR="009F6CB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C74E2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</w:p>
    <w:p w14:paraId="04AC18F4" w14:textId="299FFC77" w:rsidR="00AC51E1" w:rsidRPr="004B021A" w:rsidRDefault="00FB0D24" w:rsidP="00CD4974">
      <w:pPr>
        <w:spacing w:before="280" w:after="140" w:line="290" w:lineRule="auto"/>
        <w:contextualSpacing/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C74E26">
        <w:rPr>
          <w:rFonts w:ascii="Open Sans" w:hAnsi="Open Sans" w:cs="Open Sans"/>
          <w:b/>
          <w:caps/>
          <w:sz w:val="20"/>
          <w:szCs w:val="20"/>
        </w:rPr>
        <w:t>a ser realizada</w:t>
      </w:r>
      <w:r w:rsidR="00AD40C6">
        <w:rPr>
          <w:rFonts w:ascii="Open Sans" w:hAnsi="Open Sans" w:cs="Open Sans"/>
          <w:b/>
          <w:caps/>
          <w:sz w:val="20"/>
          <w:szCs w:val="20"/>
        </w:rPr>
        <w:t>,</w:t>
      </w:r>
      <w:r w:rsidRPr="00C74E26">
        <w:rPr>
          <w:rFonts w:ascii="Open Sans" w:hAnsi="Open Sans" w:cs="Open Sans"/>
          <w:b/>
          <w:caps/>
          <w:sz w:val="20"/>
          <w:szCs w:val="20"/>
        </w:rPr>
        <w:t xml:space="preserve"> em </w:t>
      </w:r>
      <w:r w:rsidR="00311D6D">
        <w:rPr>
          <w:rFonts w:ascii="Open Sans" w:hAnsi="Open Sans" w:cs="Open Sans"/>
          <w:b/>
          <w:caps/>
          <w:sz w:val="20"/>
          <w:szCs w:val="20"/>
        </w:rPr>
        <w:t>1ª</w:t>
      </w:r>
      <w:r w:rsidRPr="00C74E26">
        <w:rPr>
          <w:rFonts w:ascii="Open Sans" w:hAnsi="Open Sans" w:cs="Open Sans"/>
          <w:b/>
          <w:caps/>
          <w:sz w:val="20"/>
          <w:szCs w:val="20"/>
        </w:rPr>
        <w:t xml:space="preserve"> convocação</w:t>
      </w:r>
      <w:r w:rsidR="00AD40C6">
        <w:rPr>
          <w:rFonts w:ascii="Open Sans" w:hAnsi="Open Sans" w:cs="Open Sans"/>
          <w:b/>
          <w:caps/>
          <w:sz w:val="20"/>
          <w:szCs w:val="20"/>
        </w:rPr>
        <w:t>,</w:t>
      </w:r>
      <w:r w:rsidR="00B0580D" w:rsidRPr="00C74E26">
        <w:rPr>
          <w:rFonts w:ascii="Open Sans" w:hAnsi="Open Sans" w:cs="Open Sans"/>
          <w:b/>
          <w:caps/>
          <w:sz w:val="20"/>
          <w:szCs w:val="20"/>
        </w:rPr>
        <w:t xml:space="preserve"> em</w:t>
      </w:r>
      <w:r w:rsidR="00AF1FD2" w:rsidRPr="00C74E26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311D6D">
        <w:rPr>
          <w:rFonts w:ascii="Open Sans" w:hAnsi="Open Sans" w:cs="Open Sans"/>
          <w:b/>
          <w:bCs/>
          <w:caps/>
          <w:sz w:val="20"/>
          <w:szCs w:val="20"/>
        </w:rPr>
        <w:t>10 de janeiro de 2025</w:t>
      </w:r>
      <w:r w:rsidR="00AD40C6">
        <w:rPr>
          <w:rFonts w:ascii="Open Sans" w:hAnsi="Open Sans" w:cs="Open Sans"/>
          <w:b/>
          <w:bCs/>
          <w:caps/>
          <w:sz w:val="20"/>
          <w:szCs w:val="20"/>
        </w:rPr>
        <w:t>,</w:t>
      </w:r>
      <w:r w:rsidR="00811AFC" w:rsidRPr="00811AFC">
        <w:t xml:space="preserve"> </w:t>
      </w:r>
      <w:r w:rsidR="00811AFC" w:rsidRPr="00811AFC">
        <w:rPr>
          <w:rFonts w:ascii="Open Sans" w:hAnsi="Open Sans" w:cs="Open Sans"/>
          <w:b/>
          <w:bCs/>
          <w:caps/>
          <w:sz w:val="20"/>
          <w:szCs w:val="20"/>
        </w:rPr>
        <w:t xml:space="preserve">EM EVENTUAIS REABERTURAS E/OU EM </w:t>
      </w:r>
      <w:r w:rsidR="00AD40C6">
        <w:rPr>
          <w:rFonts w:ascii="Open Sans" w:hAnsi="Open Sans" w:cs="Open Sans"/>
          <w:b/>
          <w:bCs/>
          <w:caps/>
          <w:sz w:val="20"/>
          <w:szCs w:val="20"/>
        </w:rPr>
        <w:t>2ª</w:t>
      </w:r>
      <w:r w:rsidR="00811AFC" w:rsidRPr="00811AFC">
        <w:rPr>
          <w:rFonts w:ascii="Open Sans" w:hAnsi="Open Sans" w:cs="Open Sans"/>
          <w:b/>
          <w:bCs/>
          <w:caps/>
          <w:sz w:val="20"/>
          <w:szCs w:val="20"/>
        </w:rPr>
        <w:t xml:space="preserve"> CONVOCAÇÃO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F85126" w:rsidRPr="00C74E26" w14:paraId="1A11EBDC" w14:textId="77777777" w:rsidTr="00420F73">
        <w:trPr>
          <w:trHeight w:val="391"/>
        </w:trPr>
        <w:tc>
          <w:tcPr>
            <w:tcW w:w="9072" w:type="dxa"/>
            <w:gridSpan w:val="2"/>
            <w:vAlign w:val="center"/>
          </w:tcPr>
          <w:p w14:paraId="210363A1" w14:textId="466B819D" w:rsidR="00F85126" w:rsidRPr="00F85126" w:rsidRDefault="00F85126" w:rsidP="002815FF">
            <w:pPr>
              <w:pStyle w:val="Estilo"/>
              <w:spacing w:line="290" w:lineRule="auto"/>
              <w:jc w:val="center"/>
              <w:rPr>
                <w:rFonts w:ascii="Open Sans" w:hAnsi="Open Sans" w:cs="Open Sans"/>
                <w:b/>
                <w:bCs/>
                <w:shd w:val="clear" w:color="auto" w:fill="FFFFFF"/>
              </w:rPr>
            </w:pPr>
            <w:r w:rsidRPr="00F85126">
              <w:rPr>
                <w:rFonts w:ascii="Open Sans" w:hAnsi="Open Sans" w:cs="Open Sans"/>
                <w:b/>
                <w:bCs/>
                <w:shd w:val="clear" w:color="auto" w:fill="FFFFFF"/>
              </w:rPr>
              <w:t>TITULAR DOS CRA</w:t>
            </w:r>
          </w:p>
        </w:tc>
      </w:tr>
      <w:tr w:rsidR="00FB0D24" w:rsidRPr="00C74E26" w14:paraId="21F40042" w14:textId="77777777" w:rsidTr="00420F73">
        <w:trPr>
          <w:trHeight w:val="127"/>
        </w:trPr>
        <w:tc>
          <w:tcPr>
            <w:tcW w:w="3261" w:type="dxa"/>
            <w:vAlign w:val="center"/>
          </w:tcPr>
          <w:p w14:paraId="75BEC917" w14:textId="6DDF0054" w:rsidR="00FB0D24" w:rsidRPr="00C74E26" w:rsidRDefault="00FB0D24" w:rsidP="002815FF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  <w:r w:rsidRPr="00C74E26">
              <w:rPr>
                <w:rFonts w:ascii="Open Sans" w:hAnsi="Open Sans" w:cs="Open Sans"/>
                <w:shd w:val="clear" w:color="auto" w:fill="FFFFFF"/>
              </w:rPr>
              <w:t>Nome/Denominação</w:t>
            </w:r>
            <w:r w:rsidR="00F85126">
              <w:rPr>
                <w:rFonts w:ascii="Open Sans" w:hAnsi="Open Sans" w:cs="Open Sans"/>
                <w:shd w:val="clear" w:color="auto" w:fill="FFFFFF"/>
              </w:rPr>
              <w:t xml:space="preserve"> Social:</w:t>
            </w:r>
          </w:p>
        </w:tc>
        <w:tc>
          <w:tcPr>
            <w:tcW w:w="5811" w:type="dxa"/>
            <w:vAlign w:val="center"/>
          </w:tcPr>
          <w:p w14:paraId="333561C1" w14:textId="025D8FF0" w:rsidR="00FB0D24" w:rsidRPr="00C74E26" w:rsidRDefault="00FB0D24" w:rsidP="002815FF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C74E26" w14:paraId="4F9C9A9E" w14:textId="77777777" w:rsidTr="00420F73">
        <w:tc>
          <w:tcPr>
            <w:tcW w:w="3261" w:type="dxa"/>
            <w:vAlign w:val="center"/>
          </w:tcPr>
          <w:p w14:paraId="1ABE1E64" w14:textId="1F1C803E" w:rsidR="00FB0D24" w:rsidRPr="00C74E26" w:rsidRDefault="00FB0D24" w:rsidP="002815FF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  <w:r w:rsidRPr="00C74E26">
              <w:rPr>
                <w:rFonts w:ascii="Open Sans" w:hAnsi="Open Sans" w:cs="Open Sans"/>
                <w:shd w:val="clear" w:color="auto" w:fill="FFFFFF"/>
              </w:rPr>
              <w:t>CPF/CNPJ</w:t>
            </w:r>
            <w:r w:rsidR="00F85126">
              <w:rPr>
                <w:rFonts w:ascii="Open Sans" w:hAnsi="Open Sans" w:cs="Open Sans"/>
                <w:shd w:val="clear" w:color="auto" w:fill="FFFFFF"/>
              </w:rPr>
              <w:t>:</w:t>
            </w:r>
          </w:p>
        </w:tc>
        <w:tc>
          <w:tcPr>
            <w:tcW w:w="5811" w:type="dxa"/>
            <w:vAlign w:val="center"/>
          </w:tcPr>
          <w:p w14:paraId="0AA0A312" w14:textId="77777777" w:rsidR="00FB0D24" w:rsidRPr="00C74E26" w:rsidRDefault="00FB0D24" w:rsidP="002815FF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C74E26" w14:paraId="50C22F28" w14:textId="77777777" w:rsidTr="00420F73">
        <w:tc>
          <w:tcPr>
            <w:tcW w:w="3261" w:type="dxa"/>
            <w:vAlign w:val="center"/>
          </w:tcPr>
          <w:p w14:paraId="68E68C83" w14:textId="31FC5A41" w:rsidR="00FB0D24" w:rsidRPr="00F85126" w:rsidRDefault="00FB0D24" w:rsidP="002815FF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  <w:r w:rsidRPr="00C74E26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="00F85126">
              <w:rPr>
                <w:rFonts w:ascii="Open Sans" w:hAnsi="Open Sans" w:cs="Open Sans"/>
                <w:shd w:val="clear" w:color="auto" w:fill="FFFFFF"/>
              </w:rPr>
              <w:t>:</w:t>
            </w:r>
          </w:p>
        </w:tc>
        <w:tc>
          <w:tcPr>
            <w:tcW w:w="5811" w:type="dxa"/>
            <w:vAlign w:val="center"/>
          </w:tcPr>
          <w:p w14:paraId="6FA96630" w14:textId="77777777" w:rsidR="00FB0D24" w:rsidRPr="00C74E26" w:rsidRDefault="00FB0D24" w:rsidP="002815FF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C74E26" w14:paraId="2E187A9D" w14:textId="77777777" w:rsidTr="00420F73">
        <w:tc>
          <w:tcPr>
            <w:tcW w:w="3261" w:type="dxa"/>
            <w:vAlign w:val="center"/>
          </w:tcPr>
          <w:p w14:paraId="12307891" w14:textId="68FA3FE8" w:rsidR="00FB0D24" w:rsidRPr="00C74E26" w:rsidRDefault="00FB0D24" w:rsidP="002815FF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  <w:r w:rsidRPr="00C74E26">
              <w:rPr>
                <w:rFonts w:ascii="Open Sans" w:hAnsi="Open Sans" w:cs="Open Sans"/>
                <w:shd w:val="clear" w:color="auto" w:fill="FFFFFF"/>
              </w:rPr>
              <w:t>Telefone</w:t>
            </w:r>
            <w:r w:rsidR="00F85126">
              <w:rPr>
                <w:rFonts w:ascii="Open Sans" w:hAnsi="Open Sans" w:cs="Open Sans"/>
                <w:shd w:val="clear" w:color="auto" w:fill="FFFFFF"/>
              </w:rPr>
              <w:t>:</w:t>
            </w:r>
          </w:p>
        </w:tc>
        <w:tc>
          <w:tcPr>
            <w:tcW w:w="5811" w:type="dxa"/>
            <w:vAlign w:val="center"/>
          </w:tcPr>
          <w:p w14:paraId="688E1715" w14:textId="77777777" w:rsidR="00FB0D24" w:rsidRPr="00C74E26" w:rsidRDefault="00FB0D24" w:rsidP="002815FF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23A2EEE" w:rsidR="00BC543A" w:rsidRDefault="00FC711E" w:rsidP="00FC711E">
      <w:pPr>
        <w:pStyle w:val="Estilo"/>
        <w:pBdr>
          <w:bottom w:val="single" w:sz="12" w:space="0" w:color="auto"/>
        </w:pBdr>
        <w:spacing w:before="280" w:after="140" w:line="290" w:lineRule="auto"/>
        <w:jc w:val="both"/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</w:pPr>
      <w:r w:rsidRPr="00FC711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As definições ora utilizadas (entendidas como aquelas iniciadas em letra maiúscula e com contexto próprio) e que não estejam expressamente definidas nest</w:t>
      </w:r>
      <w:r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a </w:t>
      </w:r>
      <w:r w:rsidR="004B021A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“Instrução de Vota </w:t>
      </w:r>
      <w:r w:rsidR="004B021A" w:rsidRPr="004B021A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a </w:t>
      </w:r>
      <w:r w:rsidR="00911830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Distância</w:t>
      </w:r>
      <w:r w:rsidR="003717FA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</w:t>
      </w:r>
      <w:r w:rsidR="004B021A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da Assembleia Geral de Titulares dos Certificados de Recebíveis do Agronegócio </w:t>
      </w:r>
      <w:r w:rsidR="00AA3032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da 1ª e 2ª Séries da 3ª Emissão da</w:t>
      </w:r>
      <w:r w:rsidR="00D711EF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Forte Securitizadora S.A</w:t>
      </w:r>
      <w:r w:rsidR="00EE4302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.”</w:t>
      </w:r>
      <w:r w:rsidR="00AA3032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</w:t>
      </w:r>
      <w:r w:rsidR="00D711EF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(“</w:t>
      </w:r>
      <w:r w:rsidR="00D711EF" w:rsidRPr="00D711EF">
        <w:rPr>
          <w:rFonts w:ascii="Open Sans" w:hAnsi="Open Sans" w:cs="Open Sans"/>
          <w:i/>
          <w:iCs/>
          <w:sz w:val="20"/>
          <w:szCs w:val="20"/>
          <w:u w:val="single"/>
          <w:shd w:val="clear" w:color="auto" w:fill="FFFFFF"/>
        </w:rPr>
        <w:t>Instrução de Voto</w:t>
      </w:r>
      <w:r w:rsidR="00D711EF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”, “</w:t>
      </w:r>
      <w:r w:rsidR="00D711EF" w:rsidRPr="00D711EF">
        <w:rPr>
          <w:rFonts w:ascii="Open Sans" w:hAnsi="Open Sans" w:cs="Open Sans"/>
          <w:i/>
          <w:iCs/>
          <w:sz w:val="20"/>
          <w:szCs w:val="20"/>
          <w:u w:val="single"/>
          <w:shd w:val="clear" w:color="auto" w:fill="FFFFFF"/>
        </w:rPr>
        <w:t>Assembleia</w:t>
      </w:r>
      <w:r w:rsidR="00D711EF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” e “</w:t>
      </w:r>
      <w:r w:rsidR="00D711EF" w:rsidRPr="00D711EF">
        <w:rPr>
          <w:rFonts w:ascii="Open Sans" w:hAnsi="Open Sans" w:cs="Open Sans"/>
          <w:i/>
          <w:iCs/>
          <w:sz w:val="20"/>
          <w:szCs w:val="20"/>
          <w:u w:val="single"/>
          <w:shd w:val="clear" w:color="auto" w:fill="FFFFFF"/>
        </w:rPr>
        <w:t>CRA</w:t>
      </w:r>
      <w:r w:rsidR="00D711EF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”, respectivamente)</w:t>
      </w:r>
      <w:r w:rsidR="007E745B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,</w:t>
      </w:r>
      <w:r w:rsidR="00D711EF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</w:t>
      </w:r>
      <w:r w:rsidR="00F77177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terão o respectivo significado atribuído no</w:t>
      </w:r>
      <w:r w:rsidR="00D711EF" w:rsidRPr="004B021A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</w:t>
      </w:r>
      <w:r w:rsidR="007E745B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“</w:t>
      </w:r>
      <w:r w:rsidR="00387D5E" w:rsidRPr="00387D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Termo</w:t>
      </w:r>
      <w:r w:rsidR="00387D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</w:t>
      </w:r>
      <w:r w:rsidR="00387D5E" w:rsidRPr="00387D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de Securitização de Direitos Creditórios do Agronegócio das 1ª </w:t>
      </w:r>
      <w:r w:rsidR="00387D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e</w:t>
      </w:r>
      <w:r w:rsidR="00387D5E" w:rsidRPr="00387D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2ª Séries da 3ª Emissão de Certificados</w:t>
      </w:r>
      <w:r w:rsidR="00387D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</w:t>
      </w:r>
      <w:r w:rsidR="00387D5E" w:rsidRPr="00387D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de Recebíveis do Agronegócio da Forte Securitizadora S.A.”</w:t>
      </w:r>
      <w:r w:rsidR="00D711EF" w:rsidRPr="004B021A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</w:t>
      </w:r>
      <w:r w:rsidR="00387D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celebrado, em </w:t>
      </w:r>
      <w:r w:rsidR="00546B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28 de abril de 2020, entre </w:t>
      </w:r>
      <w:r w:rsidR="00546B5E" w:rsidRPr="00D711EF">
        <w:rPr>
          <w:rFonts w:ascii="Open Sans" w:hAnsi="Open Sans" w:cs="Open Sans"/>
          <w:b/>
          <w:bCs/>
          <w:i/>
          <w:iCs/>
          <w:sz w:val="20"/>
          <w:szCs w:val="20"/>
          <w:shd w:val="clear" w:color="auto" w:fill="FFFFFF"/>
        </w:rPr>
        <w:t>FORTE SECURITIZADORA S.A.</w:t>
      </w:r>
      <w:r w:rsidR="00546B5E" w:rsidRPr="00D711EF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, companhia securitizadora, com sede na Cidade de São Paulo, Estado de São Paulo, na Rua Fidêncio Ramos, nº 213, </w:t>
      </w:r>
      <w:r w:rsidR="00546B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4º andar</w:t>
      </w:r>
      <w:r w:rsidR="00546B5E" w:rsidRPr="00D711EF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, Vila Olímpia, CEP 04.551-010, inscrita no CNPJ sob o nº 12.979.898/0001-70</w:t>
      </w:r>
      <w:r w:rsidR="00546B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(“</w:t>
      </w:r>
      <w:r w:rsidR="00546B5E" w:rsidRPr="00D711EF">
        <w:rPr>
          <w:rFonts w:ascii="Open Sans" w:hAnsi="Open Sans" w:cs="Open Sans"/>
          <w:i/>
          <w:iCs/>
          <w:sz w:val="20"/>
          <w:szCs w:val="20"/>
          <w:u w:val="single"/>
          <w:shd w:val="clear" w:color="auto" w:fill="FFFFFF"/>
        </w:rPr>
        <w:t>Emissora</w:t>
      </w:r>
      <w:r w:rsidR="00546B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” ou “</w:t>
      </w:r>
      <w:r w:rsidR="00546B5E" w:rsidRPr="00D711EF">
        <w:rPr>
          <w:rFonts w:ascii="Open Sans" w:hAnsi="Open Sans" w:cs="Open Sans"/>
          <w:i/>
          <w:iCs/>
          <w:sz w:val="20"/>
          <w:szCs w:val="20"/>
          <w:u w:val="single"/>
          <w:shd w:val="clear" w:color="auto" w:fill="FFFFFF"/>
        </w:rPr>
        <w:t>Securitizadora</w:t>
      </w:r>
      <w:r w:rsidR="00546B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”)</w:t>
      </w:r>
      <w:r w:rsidR="00546B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, e </w:t>
      </w:r>
      <w:r w:rsidR="00546B5E" w:rsidRPr="00546B5E">
        <w:rPr>
          <w:rFonts w:ascii="Open Sans" w:hAnsi="Open Sans" w:cs="Open Sans"/>
          <w:b/>
          <w:bCs/>
          <w:i/>
          <w:iCs/>
          <w:sz w:val="20"/>
          <w:szCs w:val="20"/>
          <w:shd w:val="clear" w:color="auto" w:fill="FFFFFF"/>
        </w:rPr>
        <w:t>VÓRTX DISTRIBUIDORA DE TÍTULOS E VALORES MOBILIÁRIOS LTDA</w:t>
      </w:r>
      <w:r w:rsidR="00546B5E" w:rsidRPr="00546B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., </w:t>
      </w:r>
      <w:r w:rsidR="00CB208F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sociedade empresária limitada</w:t>
      </w:r>
      <w:r w:rsidR="00546B5E" w:rsidRPr="00546B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, com sede</w:t>
      </w:r>
      <w:r w:rsidR="00546B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</w:t>
      </w:r>
      <w:r w:rsidR="00546B5E" w:rsidRPr="00546B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na Cidade de São Paulo, Estado de São Paulo, na Rua Gilberto Sabino, nº 215, 4º andar, Pinheiros, inscrita</w:t>
      </w:r>
      <w:r w:rsidR="00546B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</w:t>
      </w:r>
      <w:r w:rsidR="00546B5E" w:rsidRPr="00546B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no CNPJ sob o n° 22.610.500/0001-88</w:t>
      </w:r>
      <w:r w:rsidR="008271DB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(“</w:t>
      </w:r>
      <w:r w:rsidR="008271DB" w:rsidRPr="008271DB">
        <w:rPr>
          <w:rFonts w:ascii="Open Sans" w:hAnsi="Open Sans" w:cs="Open Sans"/>
          <w:i/>
          <w:iCs/>
          <w:sz w:val="20"/>
          <w:szCs w:val="20"/>
          <w:u w:val="single"/>
          <w:shd w:val="clear" w:color="auto" w:fill="FFFFFF"/>
        </w:rPr>
        <w:t>Vórtx</w:t>
      </w:r>
      <w:r w:rsidR="008271DB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”)</w:t>
      </w:r>
      <w:r w:rsidR="00546B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, conforme aditado, em </w:t>
      </w:r>
      <w:r w:rsidR="00CE1E34" w:rsidRPr="00CE1E34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22 de outubro de 2024</w:t>
      </w:r>
      <w:r w:rsidR="00CE1E34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, por meio do </w:t>
      </w:r>
      <w:r w:rsidR="00CE1E34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“</w:t>
      </w:r>
      <w:r w:rsidR="00CE1E34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Segundo Aditamento ao </w:t>
      </w:r>
      <w:r w:rsidR="00CE1E34" w:rsidRPr="00387D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Termo</w:t>
      </w:r>
      <w:r w:rsidR="00CE1E34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</w:t>
      </w:r>
      <w:r w:rsidR="00CE1E34" w:rsidRPr="00387D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de Securitização de Direitos Creditórios do Agronegócio das 1ª </w:t>
      </w:r>
      <w:r w:rsidR="00CE1E34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e</w:t>
      </w:r>
      <w:r w:rsidR="00CE1E34" w:rsidRPr="00387D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2ª Séries da 3ª Emissão de Certificados</w:t>
      </w:r>
      <w:r w:rsidR="00CE1E34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</w:t>
      </w:r>
      <w:r w:rsidR="00CE1E34" w:rsidRPr="00387D5E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de Recebíveis do Agronegócio da Forte Securitizadora S.A.”</w:t>
      </w:r>
      <w:r w:rsidR="008271DB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celebrado entre Securitizadora, Vórtx e </w:t>
      </w:r>
      <w:r w:rsidR="00CB208F" w:rsidRPr="00CB208F">
        <w:rPr>
          <w:rFonts w:ascii="Open Sans" w:hAnsi="Open Sans" w:cs="Open Sans"/>
          <w:b/>
          <w:bCs/>
          <w:i/>
          <w:iCs/>
          <w:sz w:val="20"/>
          <w:szCs w:val="20"/>
          <w:shd w:val="clear" w:color="auto" w:fill="FFFFFF"/>
        </w:rPr>
        <w:t>REAG DISTRIBUIDORA DE TÍTULOS E VALORES MOBILIÁRIOS S.A.</w:t>
      </w:r>
      <w:r w:rsidR="00CB208F" w:rsidRPr="00CB208F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, sociedade por ações, com sede na Cidade de São Paulo, Estado de São Paulo, na Avenida</w:t>
      </w:r>
      <w:r w:rsidR="00CB208F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</w:t>
      </w:r>
      <w:r w:rsidR="00CB208F" w:rsidRPr="00CB208F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Brigadeiro Faria Lima n.º 2.277, andar 17, conjunto 1.702, Jardim Paulistano, CEP</w:t>
      </w:r>
      <w:r w:rsidR="00514815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°</w:t>
      </w:r>
      <w:r w:rsidR="00CB208F" w:rsidRPr="00CB208F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01.452-000</w:t>
      </w:r>
      <w:r w:rsidR="00CB208F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, </w:t>
      </w:r>
      <w:r w:rsidR="00CB208F" w:rsidRPr="00CB208F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inscrita no</w:t>
      </w:r>
      <w:r w:rsidR="00CB208F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</w:t>
      </w:r>
      <w:r w:rsidR="00CB208F" w:rsidRPr="00CB208F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CNPJ sob o n.º 34.829.992/0001-86</w:t>
      </w:r>
      <w:r w:rsidR="00514815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(</w:t>
      </w:r>
      <w:r w:rsidR="0013284A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“</w:t>
      </w:r>
      <w:proofErr w:type="spellStart"/>
      <w:r w:rsidR="0013284A" w:rsidRPr="0013284A">
        <w:rPr>
          <w:rFonts w:ascii="Open Sans" w:hAnsi="Open Sans" w:cs="Open Sans"/>
          <w:i/>
          <w:iCs/>
          <w:sz w:val="20"/>
          <w:szCs w:val="20"/>
          <w:u w:val="single"/>
          <w:shd w:val="clear" w:color="auto" w:fill="FFFFFF"/>
        </w:rPr>
        <w:t>Reag</w:t>
      </w:r>
      <w:proofErr w:type="spellEnd"/>
      <w:r w:rsidR="0013284A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” ou </w:t>
      </w:r>
      <w:r w:rsidR="00514815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“</w:t>
      </w:r>
      <w:r w:rsidR="00514815" w:rsidRPr="00514815">
        <w:rPr>
          <w:rFonts w:ascii="Open Sans" w:hAnsi="Open Sans" w:cs="Open Sans"/>
          <w:i/>
          <w:iCs/>
          <w:sz w:val="20"/>
          <w:szCs w:val="20"/>
          <w:u w:val="single"/>
          <w:shd w:val="clear" w:color="auto" w:fill="FFFFFF"/>
        </w:rPr>
        <w:t>Agente Fiduciário</w:t>
      </w:r>
      <w:r w:rsidR="00514815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”)</w:t>
      </w:r>
      <w:r w:rsidR="00CB208F" w:rsidRPr="00CB208F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,</w:t>
      </w:r>
      <w:r w:rsidR="00514815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a fim de, entre outros aspectos, formalizar a substituição da Vórtx</w:t>
      </w:r>
      <w:r w:rsidR="0013284A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pela </w:t>
      </w:r>
      <w:proofErr w:type="spellStart"/>
      <w:r w:rsidR="0013284A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Reag</w:t>
      </w:r>
      <w:proofErr w:type="spellEnd"/>
      <w:r w:rsidR="00514815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, na qualidade de agente fiduciário dos CRA (“</w:t>
      </w:r>
      <w:r w:rsidR="00514815" w:rsidRPr="00FA61DD">
        <w:rPr>
          <w:rFonts w:ascii="Open Sans" w:hAnsi="Open Sans" w:cs="Open Sans"/>
          <w:i/>
          <w:iCs/>
          <w:sz w:val="20"/>
          <w:szCs w:val="20"/>
          <w:u w:val="single"/>
          <w:shd w:val="clear" w:color="auto" w:fill="FFFFFF"/>
        </w:rPr>
        <w:t>Termo de Securitização</w:t>
      </w:r>
      <w:r w:rsidR="00514815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”)</w:t>
      </w:r>
      <w:r w:rsidR="0013284A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.</w:t>
      </w:r>
    </w:p>
    <w:p w14:paraId="2D67246C" w14:textId="13991641" w:rsidR="004B021A" w:rsidRPr="004B021A" w:rsidRDefault="004B021A" w:rsidP="00EA3F11">
      <w:pPr>
        <w:pStyle w:val="Estilo"/>
        <w:pBdr>
          <w:bottom w:val="single" w:sz="12" w:space="0" w:color="auto"/>
        </w:pBdr>
        <w:spacing w:before="280" w:after="140" w:line="290" w:lineRule="auto"/>
        <w:jc w:val="center"/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As orientações de preenchimento e de envio estão descritas ao final desta </w:t>
      </w:r>
      <w:r w:rsidR="0013284A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Instrução de Voto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6C8EB169" w14:textId="77777777" w:rsidR="004B021A" w:rsidRPr="00C74E26" w:rsidRDefault="004B021A" w:rsidP="009C643A">
      <w:pPr>
        <w:pStyle w:val="Estilo"/>
        <w:pBdr>
          <w:bottom w:val="single" w:sz="12" w:space="0" w:color="auto"/>
        </w:pBdr>
        <w:spacing w:before="280" w:after="140" w:line="290" w:lineRule="auto"/>
        <w:contextualSpacing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B1F2714" w14:textId="72C4F3A2" w:rsidR="00FB0D24" w:rsidRPr="00896F3A" w:rsidRDefault="00FB0D24" w:rsidP="00896F3A">
      <w:pPr>
        <w:pStyle w:val="Estilo"/>
        <w:spacing w:before="280" w:after="140" w:line="290" w:lineRule="auto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</w:t>
      </w:r>
    </w:p>
    <w:p w14:paraId="0F42668F" w14:textId="3167D613" w:rsidR="009A11DC" w:rsidRDefault="00876B4F" w:rsidP="00896F3A">
      <w:pPr>
        <w:pStyle w:val="PargrafodaLista"/>
        <w:numPr>
          <w:ilvl w:val="0"/>
          <w:numId w:val="13"/>
        </w:numPr>
        <w:spacing w:before="280" w:after="140" w:line="290" w:lineRule="auto"/>
        <w:ind w:left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BF1787" w:rsidRPr="00BF1787">
        <w:rPr>
          <w:rFonts w:ascii="Open Sans" w:hAnsi="Open Sans" w:cs="Open Sans"/>
          <w:color w:val="000000" w:themeColor="text1"/>
          <w:sz w:val="20"/>
          <w:szCs w:val="20"/>
        </w:rPr>
        <w:t xml:space="preserve"> aprovação, ou não, da proposta de acordo para reestruturação da Operação</w:t>
      </w:r>
      <w:r w:rsidR="00BF1787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BF1787" w:rsidRPr="00BF1787">
        <w:rPr>
          <w:rFonts w:ascii="Open Sans" w:hAnsi="Open Sans" w:cs="Open Sans"/>
          <w:color w:val="000000" w:themeColor="text1"/>
          <w:sz w:val="20"/>
          <w:szCs w:val="20"/>
        </w:rPr>
        <w:t xml:space="preserve"> enviada pela Devedora, conforme </w:t>
      </w:r>
      <w:r w:rsidR="003A1437">
        <w:rPr>
          <w:rFonts w:ascii="Open Sans" w:hAnsi="Open Sans" w:cs="Open Sans"/>
          <w:color w:val="000000" w:themeColor="text1"/>
          <w:sz w:val="20"/>
          <w:szCs w:val="20"/>
        </w:rPr>
        <w:t>“</w:t>
      </w:r>
      <w:r w:rsidR="00BF1787" w:rsidRPr="00BF1787">
        <w:rPr>
          <w:rFonts w:ascii="Open Sans" w:hAnsi="Open Sans" w:cs="Open Sans"/>
          <w:color w:val="000000" w:themeColor="text1"/>
          <w:sz w:val="20"/>
          <w:szCs w:val="20"/>
        </w:rPr>
        <w:t>Anexo I</w:t>
      </w:r>
      <w:r w:rsidR="003A1437">
        <w:rPr>
          <w:rFonts w:ascii="Open Sans" w:hAnsi="Open Sans" w:cs="Open Sans"/>
          <w:color w:val="000000" w:themeColor="text1"/>
          <w:sz w:val="20"/>
          <w:szCs w:val="20"/>
        </w:rPr>
        <w:t>”</w:t>
      </w:r>
      <w:r w:rsidR="00BF1787" w:rsidRPr="00BF1787">
        <w:rPr>
          <w:rFonts w:ascii="Open Sans" w:hAnsi="Open Sans" w:cs="Open Sans"/>
          <w:color w:val="000000" w:themeColor="text1"/>
          <w:sz w:val="20"/>
          <w:szCs w:val="20"/>
        </w:rPr>
        <w:t xml:space="preserve"> ao </w:t>
      </w:r>
      <w:r w:rsidR="00BF1787">
        <w:rPr>
          <w:rFonts w:ascii="Open Sans" w:hAnsi="Open Sans" w:cs="Open Sans"/>
          <w:color w:val="000000" w:themeColor="text1"/>
          <w:sz w:val="20"/>
          <w:szCs w:val="20"/>
        </w:rPr>
        <w:t>edital</w:t>
      </w:r>
      <w:r w:rsidR="003A1437">
        <w:rPr>
          <w:rFonts w:ascii="Open Sans" w:hAnsi="Open Sans" w:cs="Open Sans"/>
          <w:color w:val="000000" w:themeColor="text1"/>
          <w:sz w:val="20"/>
          <w:szCs w:val="20"/>
        </w:rPr>
        <w:t xml:space="preserve"> de convocação</w:t>
      </w:r>
      <w:r w:rsidR="009A11DC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620E7A">
        <w:rPr>
          <w:rFonts w:ascii="Open Sans" w:hAnsi="Open Sans" w:cs="Open Sans"/>
          <w:color w:val="000000" w:themeColor="text1"/>
          <w:sz w:val="20"/>
          <w:szCs w:val="20"/>
        </w:rPr>
        <w:t>da Assembleia</w:t>
      </w:r>
      <w:r w:rsidR="009A11DC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3A1437">
        <w:rPr>
          <w:rFonts w:ascii="Open Sans" w:hAnsi="Open Sans" w:cs="Open Sans"/>
          <w:color w:val="000000" w:themeColor="text1"/>
          <w:sz w:val="20"/>
          <w:szCs w:val="20"/>
        </w:rPr>
        <w:t xml:space="preserve"> publicado em 20 de dezembro de 2024</w:t>
      </w:r>
      <w:r w:rsidR="009A11DC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9A11DC" w:rsidRPr="009A11DC">
        <w:rPr>
          <w:rFonts w:ascii="Open Sans" w:hAnsi="Open Sans" w:cs="Open Sans"/>
          <w:color w:val="000000" w:themeColor="text1"/>
          <w:sz w:val="20"/>
          <w:szCs w:val="20"/>
          <w:u w:val="single"/>
        </w:rPr>
        <w:t>Edital de Convocação</w:t>
      </w:r>
      <w:r w:rsidR="009A11DC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BF1787" w:rsidRPr="00BF1787">
        <w:rPr>
          <w:rFonts w:ascii="Open Sans" w:hAnsi="Open Sans" w:cs="Open Sans"/>
          <w:color w:val="000000" w:themeColor="text1"/>
          <w:sz w:val="20"/>
          <w:szCs w:val="20"/>
        </w:rPr>
        <w:t>, consistente das seguintes condições e/ou modificações das características dos CRA e/ou das CPR</w:t>
      </w:r>
      <w:r w:rsidR="009A11DC">
        <w:rPr>
          <w:rFonts w:ascii="Open Sans" w:hAnsi="Open Sans" w:cs="Open Sans"/>
          <w:color w:val="000000" w:themeColor="text1"/>
          <w:sz w:val="20"/>
          <w:szCs w:val="20"/>
        </w:rPr>
        <w:t>-F</w:t>
      </w:r>
      <w:r w:rsidR="00BF1787" w:rsidRPr="00BF1787">
        <w:rPr>
          <w:rFonts w:ascii="Open Sans" w:hAnsi="Open Sans" w:cs="Open Sans"/>
          <w:color w:val="000000" w:themeColor="text1"/>
          <w:sz w:val="20"/>
          <w:szCs w:val="20"/>
        </w:rPr>
        <w:t xml:space="preserve">, conforme aplicável: </w:t>
      </w:r>
    </w:p>
    <w:p w14:paraId="041F5CD5" w14:textId="2CF2FC3C" w:rsidR="00BE5502" w:rsidRDefault="00BF1787" w:rsidP="00277C27">
      <w:pPr>
        <w:pStyle w:val="PargrafodaLista"/>
        <w:numPr>
          <w:ilvl w:val="0"/>
          <w:numId w:val="15"/>
        </w:numPr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F1787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reconhecimento do </w:t>
      </w:r>
      <w:r w:rsidR="002E00A4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Pr="00BF1787">
        <w:rPr>
          <w:rFonts w:ascii="Open Sans" w:hAnsi="Open Sans" w:cs="Open Sans"/>
          <w:color w:val="000000" w:themeColor="text1"/>
          <w:sz w:val="20"/>
          <w:szCs w:val="20"/>
        </w:rPr>
        <w:t xml:space="preserve">aldo </w:t>
      </w:r>
      <w:r w:rsidR="002E00A4">
        <w:rPr>
          <w:rFonts w:ascii="Open Sans" w:hAnsi="Open Sans" w:cs="Open Sans"/>
          <w:color w:val="000000" w:themeColor="text1"/>
          <w:sz w:val="20"/>
          <w:szCs w:val="20"/>
        </w:rPr>
        <w:t>d</w:t>
      </w:r>
      <w:r w:rsidRPr="00BF1787">
        <w:rPr>
          <w:rFonts w:ascii="Open Sans" w:hAnsi="Open Sans" w:cs="Open Sans"/>
          <w:color w:val="000000" w:themeColor="text1"/>
          <w:sz w:val="20"/>
          <w:szCs w:val="20"/>
        </w:rPr>
        <w:t>evedor dos CRA em R$</w:t>
      </w:r>
      <w:r w:rsidR="006D78A4">
        <w:rPr>
          <w:rFonts w:ascii="Open Sans" w:hAnsi="Open Sans" w:cs="Open Sans"/>
          <w:color w:val="000000" w:themeColor="text1"/>
          <w:sz w:val="20"/>
          <w:szCs w:val="20"/>
        </w:rPr>
        <w:t>°</w:t>
      </w:r>
      <w:r w:rsidRPr="00BF1787">
        <w:rPr>
          <w:rFonts w:ascii="Open Sans" w:hAnsi="Open Sans" w:cs="Open Sans"/>
          <w:color w:val="000000" w:themeColor="text1"/>
          <w:sz w:val="20"/>
          <w:szCs w:val="20"/>
        </w:rPr>
        <w:t>26.387.666,67</w:t>
      </w:r>
      <w:r w:rsidR="006D78A4">
        <w:rPr>
          <w:rFonts w:ascii="Open Sans" w:hAnsi="Open Sans" w:cs="Open Sans"/>
          <w:color w:val="000000" w:themeColor="text1"/>
          <w:sz w:val="20"/>
          <w:szCs w:val="20"/>
        </w:rPr>
        <w:t xml:space="preserve"> (vinte e seis milhões, trezentos e oitenta e sete mil, seiscentos e sessenta e seis reais e sessenta e sete centavos)</w:t>
      </w:r>
      <w:r w:rsidRPr="00BF1787">
        <w:rPr>
          <w:rFonts w:ascii="Open Sans" w:hAnsi="Open Sans" w:cs="Open Sans"/>
          <w:color w:val="000000" w:themeColor="text1"/>
          <w:sz w:val="20"/>
          <w:szCs w:val="20"/>
        </w:rPr>
        <w:t>, considerando-se como ponto de partida, a data de 22 de agosto de 2024</w:t>
      </w:r>
      <w:r w:rsidR="000B26F6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0B26F6" w:rsidRPr="000B26F6">
        <w:rPr>
          <w:rFonts w:ascii="Open Sans" w:hAnsi="Open Sans" w:cs="Open Sans"/>
          <w:color w:val="000000" w:themeColor="text1"/>
          <w:sz w:val="20"/>
          <w:szCs w:val="20"/>
          <w:u w:val="single"/>
        </w:rPr>
        <w:t>Reconhecimento d</w:t>
      </w:r>
      <w:r w:rsidR="00291F6B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e Novo </w:t>
      </w:r>
      <w:r w:rsidR="000B26F6" w:rsidRPr="000B26F6">
        <w:rPr>
          <w:rFonts w:ascii="Open Sans" w:hAnsi="Open Sans" w:cs="Open Sans"/>
          <w:color w:val="000000" w:themeColor="text1"/>
          <w:sz w:val="20"/>
          <w:szCs w:val="20"/>
          <w:u w:val="single"/>
        </w:rPr>
        <w:t>Saldo Devedor</w:t>
      </w:r>
      <w:r w:rsidR="000B26F6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2E00A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607755">
        <w:rPr>
          <w:rStyle w:val="Refdenotaderodap"/>
          <w:rFonts w:ascii="Open Sans" w:hAnsi="Open Sans" w:cs="Open Sans"/>
          <w:color w:val="000000" w:themeColor="text1"/>
          <w:sz w:val="20"/>
          <w:szCs w:val="20"/>
        </w:rPr>
        <w:footnoteReference w:id="1"/>
      </w:r>
      <w:r w:rsidR="00277C27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5C32F9C1" w14:textId="53DB9CCE" w:rsidR="002E00A4" w:rsidRDefault="00BF1787" w:rsidP="002E00A4">
      <w:pPr>
        <w:pStyle w:val="PargrafodaLista"/>
        <w:numPr>
          <w:ilvl w:val="0"/>
          <w:numId w:val="15"/>
        </w:numPr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F1787">
        <w:rPr>
          <w:rFonts w:ascii="Open Sans" w:hAnsi="Open Sans" w:cs="Open Sans"/>
          <w:color w:val="000000" w:themeColor="text1"/>
          <w:sz w:val="20"/>
          <w:szCs w:val="20"/>
        </w:rPr>
        <w:t xml:space="preserve">quitação parcial do </w:t>
      </w:r>
      <w:r w:rsidR="007F09DA" w:rsidRPr="00BF1787">
        <w:rPr>
          <w:rFonts w:ascii="Open Sans" w:hAnsi="Open Sans" w:cs="Open Sans"/>
          <w:color w:val="000000" w:themeColor="text1"/>
          <w:sz w:val="20"/>
          <w:szCs w:val="20"/>
        </w:rPr>
        <w:t xml:space="preserve">saldo devedor dos </w:t>
      </w:r>
      <w:r w:rsidRPr="00BF1787">
        <w:rPr>
          <w:rFonts w:ascii="Open Sans" w:hAnsi="Open Sans" w:cs="Open Sans"/>
          <w:color w:val="000000" w:themeColor="text1"/>
          <w:sz w:val="20"/>
          <w:szCs w:val="20"/>
        </w:rPr>
        <w:t xml:space="preserve">CRA apresentado no item </w:t>
      </w:r>
      <w:r w:rsidR="002E00A4">
        <w:rPr>
          <w:rFonts w:ascii="Open Sans" w:hAnsi="Open Sans" w:cs="Open Sans"/>
          <w:color w:val="000000" w:themeColor="text1"/>
          <w:sz w:val="20"/>
          <w:szCs w:val="20"/>
        </w:rPr>
        <w:t>“</w:t>
      </w:r>
      <w:r w:rsidRPr="00BF1787">
        <w:rPr>
          <w:rFonts w:ascii="Open Sans" w:hAnsi="Open Sans" w:cs="Open Sans"/>
          <w:color w:val="000000" w:themeColor="text1"/>
          <w:sz w:val="20"/>
          <w:szCs w:val="20"/>
        </w:rPr>
        <w:t>(a)</w:t>
      </w:r>
      <w:r w:rsidR="002E00A4">
        <w:rPr>
          <w:rFonts w:ascii="Open Sans" w:hAnsi="Open Sans" w:cs="Open Sans"/>
          <w:color w:val="000000" w:themeColor="text1"/>
          <w:sz w:val="20"/>
          <w:szCs w:val="20"/>
        </w:rPr>
        <w:t>” anterior,</w:t>
      </w:r>
      <w:r w:rsidRPr="00BF1787">
        <w:rPr>
          <w:rFonts w:ascii="Open Sans" w:hAnsi="Open Sans" w:cs="Open Sans"/>
          <w:color w:val="000000" w:themeColor="text1"/>
          <w:sz w:val="20"/>
          <w:szCs w:val="20"/>
        </w:rPr>
        <w:t xml:space="preserve"> na quantia de R$</w:t>
      </w:r>
      <w:r w:rsidR="002E00A4">
        <w:rPr>
          <w:rFonts w:ascii="Open Sans" w:hAnsi="Open Sans" w:cs="Open Sans"/>
          <w:color w:val="000000" w:themeColor="text1"/>
          <w:sz w:val="20"/>
          <w:szCs w:val="20"/>
        </w:rPr>
        <w:t>°</w:t>
      </w:r>
      <w:r w:rsidRPr="00BF1787">
        <w:rPr>
          <w:rFonts w:ascii="Open Sans" w:hAnsi="Open Sans" w:cs="Open Sans"/>
          <w:color w:val="000000" w:themeColor="text1"/>
          <w:sz w:val="20"/>
          <w:szCs w:val="20"/>
        </w:rPr>
        <w:t>12.000.000,00 (doze milhões de reais)</w:t>
      </w:r>
      <w:r w:rsidR="003F4F42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3F4F42" w:rsidRPr="00291F6B">
        <w:rPr>
          <w:rFonts w:ascii="Open Sans" w:hAnsi="Open Sans" w:cs="Open Sans"/>
          <w:color w:val="000000" w:themeColor="text1"/>
          <w:sz w:val="20"/>
          <w:szCs w:val="20"/>
          <w:u w:val="single"/>
        </w:rPr>
        <w:t>Valor do Imóvel em Dação</w:t>
      </w:r>
      <w:r w:rsidR="003F4F42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2E00A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BF1787">
        <w:rPr>
          <w:rFonts w:ascii="Open Sans" w:hAnsi="Open Sans" w:cs="Open Sans"/>
          <w:color w:val="000000" w:themeColor="text1"/>
          <w:sz w:val="20"/>
          <w:szCs w:val="20"/>
        </w:rPr>
        <w:t xml:space="preserve"> com a dação em pagamento do imóvel objeto da matrícula nº 94.593 do Registro de Imóveis de</w:t>
      </w:r>
      <w:r w:rsidR="002E00A4">
        <w:rPr>
          <w:rFonts w:ascii="Open Sans" w:hAnsi="Open Sans" w:cs="Open Sans"/>
          <w:color w:val="000000" w:themeColor="text1"/>
          <w:sz w:val="20"/>
          <w:szCs w:val="20"/>
        </w:rPr>
        <w:t xml:space="preserve"> Comarca</w:t>
      </w:r>
      <w:r w:rsidRPr="00BF1787">
        <w:rPr>
          <w:rFonts w:ascii="Open Sans" w:hAnsi="Open Sans" w:cs="Open Sans"/>
          <w:color w:val="000000" w:themeColor="text1"/>
          <w:sz w:val="20"/>
          <w:szCs w:val="20"/>
        </w:rPr>
        <w:t xml:space="preserve"> Itu</w:t>
      </w:r>
      <w:r w:rsidR="002E00A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Pr="00BF1787">
        <w:rPr>
          <w:rFonts w:ascii="Open Sans" w:hAnsi="Open Sans" w:cs="Open Sans"/>
          <w:color w:val="000000" w:themeColor="text1"/>
          <w:sz w:val="20"/>
          <w:szCs w:val="20"/>
        </w:rPr>
        <w:t>SP, alienado fiduciariamente em favor da Securitizadora em benefício do Patrimônio Separado (“</w:t>
      </w:r>
      <w:r w:rsidRPr="002E00A4">
        <w:rPr>
          <w:rFonts w:ascii="Open Sans" w:hAnsi="Open Sans" w:cs="Open Sans"/>
          <w:color w:val="000000" w:themeColor="text1"/>
          <w:sz w:val="20"/>
          <w:szCs w:val="20"/>
          <w:u w:val="single"/>
        </w:rPr>
        <w:t>Imóvel</w:t>
      </w:r>
      <w:r w:rsidRPr="00BF1787">
        <w:rPr>
          <w:rFonts w:ascii="Open Sans" w:hAnsi="Open Sans" w:cs="Open Sans"/>
          <w:color w:val="000000" w:themeColor="text1"/>
          <w:sz w:val="20"/>
          <w:szCs w:val="20"/>
        </w:rPr>
        <w:t xml:space="preserve">”); </w:t>
      </w:r>
    </w:p>
    <w:p w14:paraId="334C511E" w14:textId="649DAF0F" w:rsidR="00BE5502" w:rsidRDefault="002E00A4" w:rsidP="00BE5502">
      <w:pPr>
        <w:pStyle w:val="PargrafodaLista"/>
        <w:numPr>
          <w:ilvl w:val="0"/>
          <w:numId w:val="15"/>
        </w:numPr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BF1787" w:rsidRPr="00BF1787">
        <w:rPr>
          <w:rFonts w:ascii="Open Sans" w:hAnsi="Open Sans" w:cs="Open Sans"/>
          <w:color w:val="000000" w:themeColor="text1"/>
          <w:sz w:val="20"/>
          <w:szCs w:val="20"/>
        </w:rPr>
        <w:t xml:space="preserve">obre o </w:t>
      </w:r>
      <w:r w:rsidR="007F09DA" w:rsidRPr="00BF1787">
        <w:rPr>
          <w:rFonts w:ascii="Open Sans" w:hAnsi="Open Sans" w:cs="Open Sans"/>
          <w:color w:val="000000" w:themeColor="text1"/>
          <w:sz w:val="20"/>
          <w:szCs w:val="20"/>
        </w:rPr>
        <w:t>saldo devedor</w:t>
      </w:r>
      <w:r w:rsidR="007F09DA">
        <w:rPr>
          <w:rFonts w:ascii="Open Sans" w:hAnsi="Open Sans" w:cs="Open Sans"/>
          <w:color w:val="000000" w:themeColor="text1"/>
          <w:sz w:val="20"/>
          <w:szCs w:val="20"/>
        </w:rPr>
        <w:t xml:space="preserve"> dos </w:t>
      </w:r>
      <w:r>
        <w:rPr>
          <w:rFonts w:ascii="Open Sans" w:hAnsi="Open Sans" w:cs="Open Sans"/>
          <w:color w:val="000000" w:themeColor="text1"/>
          <w:sz w:val="20"/>
          <w:szCs w:val="20"/>
        </w:rPr>
        <w:t>CRA</w:t>
      </w:r>
      <w:r w:rsidR="00BF1787" w:rsidRPr="00BF1787">
        <w:rPr>
          <w:rFonts w:ascii="Open Sans" w:hAnsi="Open Sans" w:cs="Open Sans"/>
          <w:color w:val="000000" w:themeColor="text1"/>
          <w:sz w:val="20"/>
          <w:szCs w:val="20"/>
        </w:rPr>
        <w:t xml:space="preserve"> apresentado no item “(a)”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anterior</w:t>
      </w:r>
      <w:r w:rsidR="00BF1787" w:rsidRPr="00BF1787">
        <w:rPr>
          <w:rFonts w:ascii="Open Sans" w:hAnsi="Open Sans" w:cs="Open Sans"/>
          <w:color w:val="000000" w:themeColor="text1"/>
          <w:sz w:val="20"/>
          <w:szCs w:val="20"/>
        </w:rPr>
        <w:t>, renúncia adicional de R$</w:t>
      </w:r>
      <w:r>
        <w:rPr>
          <w:rFonts w:ascii="Open Sans" w:hAnsi="Open Sans" w:cs="Open Sans"/>
          <w:color w:val="000000" w:themeColor="text1"/>
          <w:sz w:val="20"/>
          <w:szCs w:val="20"/>
        </w:rPr>
        <w:t>°</w:t>
      </w:r>
      <w:r w:rsidR="00BF1787" w:rsidRPr="00BF1787">
        <w:rPr>
          <w:rFonts w:ascii="Open Sans" w:hAnsi="Open Sans" w:cs="Open Sans"/>
          <w:color w:val="000000" w:themeColor="text1"/>
          <w:sz w:val="20"/>
          <w:szCs w:val="20"/>
        </w:rPr>
        <w:t xml:space="preserve">6.007.346,43 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(seis milhões, sete mil e trezentos e quarenta e seis reais e quarenta e três centavos), </w:t>
      </w:r>
      <w:r w:rsidR="00BF1787" w:rsidRPr="00BF1787">
        <w:rPr>
          <w:rFonts w:ascii="Open Sans" w:hAnsi="Open Sans" w:cs="Open Sans"/>
          <w:color w:val="000000" w:themeColor="text1"/>
          <w:sz w:val="20"/>
          <w:szCs w:val="20"/>
        </w:rPr>
        <w:t>na data de 22 de agosto de 2024</w:t>
      </w:r>
      <w:r w:rsidR="00291F6B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291F6B" w:rsidRPr="00291F6B">
        <w:rPr>
          <w:rFonts w:ascii="Open Sans" w:hAnsi="Open Sans" w:cs="Open Sans"/>
          <w:color w:val="000000" w:themeColor="text1"/>
          <w:sz w:val="20"/>
          <w:szCs w:val="20"/>
          <w:u w:val="single"/>
        </w:rPr>
        <w:t>Renúncia Adicional</w:t>
      </w:r>
      <w:r w:rsidR="00291F6B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5C4E4F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607755">
        <w:rPr>
          <w:rStyle w:val="Refdenotaderodap"/>
          <w:rFonts w:ascii="Open Sans" w:hAnsi="Open Sans" w:cs="Open Sans"/>
          <w:color w:val="000000" w:themeColor="text1"/>
          <w:sz w:val="20"/>
          <w:szCs w:val="20"/>
        </w:rPr>
        <w:footnoteReference w:id="2"/>
      </w:r>
    </w:p>
    <w:p w14:paraId="4D1014ED" w14:textId="77777777" w:rsidR="008B52E0" w:rsidRDefault="003967F5" w:rsidP="008B52E0">
      <w:pPr>
        <w:pStyle w:val="PargrafodaLista"/>
        <w:numPr>
          <w:ilvl w:val="0"/>
          <w:numId w:val="15"/>
        </w:numPr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c</w:t>
      </w:r>
      <w:r w:rsidR="00BF1787" w:rsidRPr="003967F5">
        <w:rPr>
          <w:rFonts w:ascii="Open Sans" w:hAnsi="Open Sans" w:cs="Open Sans"/>
          <w:color w:val="000000" w:themeColor="text1"/>
          <w:sz w:val="20"/>
          <w:szCs w:val="20"/>
        </w:rPr>
        <w:t xml:space="preserve">onsiderando-se o </w:t>
      </w:r>
      <w:r w:rsidR="00291F6B">
        <w:rPr>
          <w:rFonts w:ascii="Open Sans" w:hAnsi="Open Sans" w:cs="Open Sans"/>
          <w:color w:val="000000" w:themeColor="text1"/>
          <w:sz w:val="20"/>
          <w:szCs w:val="20"/>
        </w:rPr>
        <w:t>R</w:t>
      </w:r>
      <w:r w:rsidR="00BF1787" w:rsidRPr="003967F5">
        <w:rPr>
          <w:rFonts w:ascii="Open Sans" w:hAnsi="Open Sans" w:cs="Open Sans"/>
          <w:color w:val="000000" w:themeColor="text1"/>
          <w:sz w:val="20"/>
          <w:szCs w:val="20"/>
        </w:rPr>
        <w:t xml:space="preserve">econhecimento de </w:t>
      </w:r>
      <w:r w:rsidR="00291F6B">
        <w:rPr>
          <w:rFonts w:ascii="Open Sans" w:hAnsi="Open Sans" w:cs="Open Sans"/>
          <w:color w:val="000000" w:themeColor="text1"/>
          <w:sz w:val="20"/>
          <w:szCs w:val="20"/>
        </w:rPr>
        <w:t>N</w:t>
      </w:r>
      <w:r w:rsidR="00BF1787" w:rsidRPr="003967F5">
        <w:rPr>
          <w:rFonts w:ascii="Open Sans" w:hAnsi="Open Sans" w:cs="Open Sans"/>
          <w:color w:val="000000" w:themeColor="text1"/>
          <w:sz w:val="20"/>
          <w:szCs w:val="20"/>
        </w:rPr>
        <w:t xml:space="preserve">ovo Saldo Devedor, </w:t>
      </w:r>
      <w:r w:rsidR="00291F6B">
        <w:rPr>
          <w:rFonts w:ascii="Open Sans" w:hAnsi="Open Sans" w:cs="Open Sans"/>
          <w:color w:val="000000" w:themeColor="text1"/>
          <w:sz w:val="20"/>
          <w:szCs w:val="20"/>
        </w:rPr>
        <w:t>o V</w:t>
      </w:r>
      <w:r w:rsidR="00BF1787" w:rsidRPr="003967F5">
        <w:rPr>
          <w:rFonts w:ascii="Open Sans" w:hAnsi="Open Sans" w:cs="Open Sans"/>
          <w:color w:val="000000" w:themeColor="text1"/>
          <w:sz w:val="20"/>
          <w:szCs w:val="20"/>
        </w:rPr>
        <w:t xml:space="preserve">alor do Imóvel em </w:t>
      </w:r>
      <w:r w:rsidR="00291F6B">
        <w:rPr>
          <w:rFonts w:ascii="Open Sans" w:hAnsi="Open Sans" w:cs="Open Sans"/>
          <w:color w:val="000000" w:themeColor="text1"/>
          <w:sz w:val="20"/>
          <w:szCs w:val="20"/>
        </w:rPr>
        <w:t>D</w:t>
      </w:r>
      <w:r w:rsidR="00BF1787" w:rsidRPr="003967F5">
        <w:rPr>
          <w:rFonts w:ascii="Open Sans" w:hAnsi="Open Sans" w:cs="Open Sans"/>
          <w:color w:val="000000" w:themeColor="text1"/>
          <w:sz w:val="20"/>
          <w:szCs w:val="20"/>
        </w:rPr>
        <w:t xml:space="preserve">ação e da </w:t>
      </w:r>
      <w:r w:rsidR="00291F6B">
        <w:rPr>
          <w:rFonts w:ascii="Open Sans" w:hAnsi="Open Sans" w:cs="Open Sans"/>
          <w:color w:val="000000" w:themeColor="text1"/>
          <w:sz w:val="20"/>
          <w:szCs w:val="20"/>
        </w:rPr>
        <w:t>R</w:t>
      </w:r>
      <w:r w:rsidR="00BF1787" w:rsidRPr="003967F5">
        <w:rPr>
          <w:rFonts w:ascii="Open Sans" w:hAnsi="Open Sans" w:cs="Open Sans"/>
          <w:color w:val="000000" w:themeColor="text1"/>
          <w:sz w:val="20"/>
          <w:szCs w:val="20"/>
        </w:rPr>
        <w:t xml:space="preserve">enúncia </w:t>
      </w:r>
      <w:r w:rsidR="00291F6B">
        <w:rPr>
          <w:rFonts w:ascii="Open Sans" w:hAnsi="Open Sans" w:cs="Open Sans"/>
          <w:color w:val="000000" w:themeColor="text1"/>
          <w:sz w:val="20"/>
          <w:szCs w:val="20"/>
        </w:rPr>
        <w:t>Adicional</w:t>
      </w:r>
      <w:r w:rsidR="00BF1787" w:rsidRPr="003967F5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FF627F">
        <w:rPr>
          <w:rFonts w:ascii="Open Sans" w:hAnsi="Open Sans" w:cs="Open Sans"/>
          <w:color w:val="000000" w:themeColor="text1"/>
          <w:sz w:val="20"/>
          <w:szCs w:val="20"/>
        </w:rPr>
        <w:t xml:space="preserve">previstos, </w:t>
      </w:r>
      <w:r w:rsidR="00BF1787" w:rsidRPr="003967F5">
        <w:rPr>
          <w:rFonts w:ascii="Open Sans" w:hAnsi="Open Sans" w:cs="Open Sans"/>
          <w:color w:val="000000" w:themeColor="text1"/>
          <w:sz w:val="20"/>
          <w:szCs w:val="20"/>
        </w:rPr>
        <w:t xml:space="preserve">respectivamente, </w:t>
      </w:r>
      <w:r w:rsidR="00FF627F">
        <w:rPr>
          <w:rFonts w:ascii="Open Sans" w:hAnsi="Open Sans" w:cs="Open Sans"/>
          <w:color w:val="000000" w:themeColor="text1"/>
          <w:sz w:val="20"/>
          <w:szCs w:val="20"/>
        </w:rPr>
        <w:t>n</w:t>
      </w:r>
      <w:r w:rsidR="00BF1787" w:rsidRPr="003967F5">
        <w:rPr>
          <w:rFonts w:ascii="Open Sans" w:hAnsi="Open Sans" w:cs="Open Sans"/>
          <w:color w:val="000000" w:themeColor="text1"/>
          <w:sz w:val="20"/>
          <w:szCs w:val="20"/>
        </w:rPr>
        <w:t xml:space="preserve">os itens “(a)”, “(b)” e “(c)” </w:t>
      </w:r>
      <w:r w:rsidR="00FF627F">
        <w:rPr>
          <w:rFonts w:ascii="Open Sans" w:hAnsi="Open Sans" w:cs="Open Sans"/>
          <w:color w:val="000000" w:themeColor="text1"/>
          <w:sz w:val="20"/>
          <w:szCs w:val="20"/>
        </w:rPr>
        <w:t>anteriores</w:t>
      </w:r>
      <w:r w:rsidR="00BF1787" w:rsidRPr="003967F5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FF627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6D78A4" w:rsidRPr="00FF627F">
        <w:rPr>
          <w:rFonts w:ascii="Open Sans" w:hAnsi="Open Sans" w:cs="Open Sans"/>
          <w:color w:val="000000" w:themeColor="text1"/>
          <w:sz w:val="20"/>
          <w:szCs w:val="20"/>
        </w:rPr>
        <w:t xml:space="preserve">reconhecimento do </w:t>
      </w:r>
      <w:r w:rsidR="00FF627F" w:rsidRPr="00FF627F">
        <w:rPr>
          <w:rFonts w:ascii="Open Sans" w:hAnsi="Open Sans" w:cs="Open Sans"/>
          <w:color w:val="000000" w:themeColor="text1"/>
          <w:sz w:val="20"/>
          <w:szCs w:val="20"/>
        </w:rPr>
        <w:t>saldo devedor</w:t>
      </w:r>
      <w:r w:rsidR="00FF627F">
        <w:rPr>
          <w:rFonts w:ascii="Open Sans" w:hAnsi="Open Sans" w:cs="Open Sans"/>
          <w:color w:val="000000" w:themeColor="text1"/>
          <w:sz w:val="20"/>
          <w:szCs w:val="20"/>
        </w:rPr>
        <w:t xml:space="preserve"> remanescente</w:t>
      </w:r>
      <w:r w:rsidR="00FF627F" w:rsidRPr="00FF627F">
        <w:rPr>
          <w:rFonts w:ascii="Open Sans" w:hAnsi="Open Sans" w:cs="Open Sans"/>
          <w:color w:val="000000" w:themeColor="text1"/>
          <w:sz w:val="20"/>
          <w:szCs w:val="20"/>
        </w:rPr>
        <w:t xml:space="preserve"> dos </w:t>
      </w:r>
      <w:r w:rsidR="006D78A4" w:rsidRPr="00FF627F">
        <w:rPr>
          <w:rFonts w:ascii="Open Sans" w:hAnsi="Open Sans" w:cs="Open Sans"/>
          <w:color w:val="000000" w:themeColor="text1"/>
          <w:sz w:val="20"/>
          <w:szCs w:val="20"/>
        </w:rPr>
        <w:t>CRA em R$</w:t>
      </w:r>
      <w:r w:rsidR="00FF627F">
        <w:rPr>
          <w:rFonts w:ascii="Open Sans" w:hAnsi="Open Sans" w:cs="Open Sans"/>
          <w:color w:val="000000" w:themeColor="text1"/>
          <w:sz w:val="20"/>
          <w:szCs w:val="20"/>
        </w:rPr>
        <w:t>°</w:t>
      </w:r>
      <w:r w:rsidR="006D78A4" w:rsidRPr="00FF627F">
        <w:rPr>
          <w:rFonts w:ascii="Open Sans" w:hAnsi="Open Sans" w:cs="Open Sans"/>
          <w:color w:val="000000" w:themeColor="text1"/>
          <w:sz w:val="20"/>
          <w:szCs w:val="20"/>
        </w:rPr>
        <w:t xml:space="preserve">8.380.320,24 </w:t>
      </w:r>
      <w:r w:rsidR="00FF627F">
        <w:rPr>
          <w:rFonts w:ascii="Open Sans" w:hAnsi="Open Sans" w:cs="Open Sans"/>
          <w:color w:val="000000" w:themeColor="text1"/>
          <w:sz w:val="20"/>
          <w:szCs w:val="20"/>
        </w:rPr>
        <w:t xml:space="preserve">(oito milhões, trezentos e oitenta mil e trezentos e vinte reais e vinte e quatro centavos), </w:t>
      </w:r>
      <w:r w:rsidR="006D78A4" w:rsidRPr="00FF627F">
        <w:rPr>
          <w:rFonts w:ascii="Open Sans" w:hAnsi="Open Sans" w:cs="Open Sans"/>
          <w:color w:val="000000" w:themeColor="text1"/>
          <w:sz w:val="20"/>
          <w:szCs w:val="20"/>
        </w:rPr>
        <w:t>na data de</w:t>
      </w:r>
      <w:r w:rsidR="008B52E0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6D78A4" w:rsidRPr="008B52E0">
        <w:rPr>
          <w:rFonts w:ascii="Open Sans" w:hAnsi="Open Sans" w:cs="Open Sans"/>
          <w:color w:val="000000" w:themeColor="text1"/>
          <w:sz w:val="20"/>
          <w:szCs w:val="20"/>
        </w:rPr>
        <w:t>22 de agosto de 2024</w:t>
      </w:r>
      <w:r w:rsidR="008B52E0">
        <w:rPr>
          <w:rFonts w:ascii="Open Sans" w:hAnsi="Open Sans" w:cs="Open Sans"/>
          <w:color w:val="000000" w:themeColor="text1"/>
          <w:sz w:val="20"/>
          <w:szCs w:val="20"/>
        </w:rPr>
        <w:t>;</w:t>
      </w:r>
    </w:p>
    <w:p w14:paraId="3FB60FE5" w14:textId="17EFEBFB" w:rsidR="000E0289" w:rsidRDefault="006D78A4" w:rsidP="000E0289">
      <w:pPr>
        <w:pStyle w:val="PargrafodaLista"/>
        <w:numPr>
          <w:ilvl w:val="0"/>
          <w:numId w:val="15"/>
        </w:numPr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B52E0">
        <w:rPr>
          <w:rFonts w:ascii="Open Sans" w:hAnsi="Open Sans" w:cs="Open Sans"/>
          <w:color w:val="000000" w:themeColor="text1"/>
          <w:sz w:val="20"/>
          <w:szCs w:val="20"/>
        </w:rPr>
        <w:t>celebração de contrato de locação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8B52E0">
        <w:rPr>
          <w:rFonts w:ascii="Open Sans" w:hAnsi="Open Sans" w:cs="Open Sans"/>
          <w:color w:val="000000" w:themeColor="text1"/>
          <w:sz w:val="20"/>
          <w:szCs w:val="20"/>
        </w:rPr>
        <w:t xml:space="preserve"> entre a Devedora e a Securitizadora</w:t>
      </w:r>
      <w:r w:rsidR="008B52E0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8B52E0">
        <w:rPr>
          <w:rFonts w:ascii="Open Sans" w:hAnsi="Open Sans" w:cs="Open Sans"/>
          <w:color w:val="000000" w:themeColor="text1"/>
          <w:sz w:val="20"/>
          <w:szCs w:val="20"/>
        </w:rPr>
        <w:t xml:space="preserve"> para que a</w:t>
      </w:r>
      <w:r w:rsidR="008B52E0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8B52E0">
        <w:rPr>
          <w:rFonts w:ascii="Open Sans" w:hAnsi="Open Sans" w:cs="Open Sans"/>
          <w:color w:val="000000" w:themeColor="text1"/>
          <w:sz w:val="20"/>
          <w:szCs w:val="20"/>
        </w:rPr>
        <w:t>Devedora mantenha suas atividades</w:t>
      </w:r>
      <w:r w:rsidR="008B52E0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8B52E0">
        <w:rPr>
          <w:rFonts w:ascii="Open Sans" w:hAnsi="Open Sans" w:cs="Open Sans"/>
          <w:color w:val="000000" w:themeColor="text1"/>
          <w:sz w:val="20"/>
          <w:szCs w:val="20"/>
        </w:rPr>
        <w:t xml:space="preserve"> mediante pagamento de aluguel mensal de</w:t>
      </w:r>
      <w:r w:rsidR="008B52E0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8B52E0">
        <w:rPr>
          <w:rFonts w:ascii="Open Sans" w:hAnsi="Open Sans" w:cs="Open Sans"/>
          <w:color w:val="000000" w:themeColor="text1"/>
          <w:sz w:val="20"/>
          <w:szCs w:val="20"/>
        </w:rPr>
        <w:t>R$</w:t>
      </w:r>
      <w:r w:rsidR="008B52E0">
        <w:rPr>
          <w:rFonts w:ascii="Open Sans" w:hAnsi="Open Sans" w:cs="Open Sans"/>
          <w:color w:val="000000" w:themeColor="text1"/>
          <w:sz w:val="20"/>
          <w:szCs w:val="20"/>
        </w:rPr>
        <w:t>°</w:t>
      </w:r>
      <w:r w:rsidRPr="008B52E0">
        <w:rPr>
          <w:rFonts w:ascii="Open Sans" w:hAnsi="Open Sans" w:cs="Open Sans"/>
          <w:color w:val="000000" w:themeColor="text1"/>
          <w:sz w:val="20"/>
          <w:szCs w:val="20"/>
        </w:rPr>
        <w:t xml:space="preserve">73.800,00 </w:t>
      </w:r>
      <w:r w:rsidR="008B52E0">
        <w:rPr>
          <w:rFonts w:ascii="Open Sans" w:hAnsi="Open Sans" w:cs="Open Sans"/>
          <w:color w:val="000000" w:themeColor="text1"/>
          <w:sz w:val="20"/>
          <w:szCs w:val="20"/>
        </w:rPr>
        <w:t xml:space="preserve">(setenta e três mil e oitocentos reais), </w:t>
      </w:r>
      <w:r w:rsidRPr="008B52E0">
        <w:rPr>
          <w:rFonts w:ascii="Open Sans" w:hAnsi="Open Sans" w:cs="Open Sans"/>
          <w:color w:val="000000" w:themeColor="text1"/>
          <w:sz w:val="20"/>
          <w:szCs w:val="20"/>
        </w:rPr>
        <w:t>com prazo mínimo de 5 (cinco) anos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>, observado que: (</w:t>
      </w:r>
      <w:r w:rsidR="00433096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>) e</w:t>
      </w:r>
      <w:r w:rsidRPr="008B52E0">
        <w:rPr>
          <w:rFonts w:ascii="Open Sans" w:hAnsi="Open Sans" w:cs="Open Sans"/>
          <w:color w:val="000000" w:themeColor="text1"/>
          <w:sz w:val="20"/>
          <w:szCs w:val="20"/>
        </w:rPr>
        <w:t>ventual interesse por terceiro para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 xml:space="preserve">aquisição do Imóvel deve ser levado para conhecimento da 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>Devedora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8B52E0" w:rsidRPr="000E0289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 xml:space="preserve"> qual será outorgad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>o direito de preferência na aquisição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 xml:space="preserve"> do Imóvel; e (</w:t>
      </w:r>
      <w:r w:rsidR="00433096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>)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 xml:space="preserve">m caso de venda 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 xml:space="preserve">do Imóvel 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>para terceiro(s), será assegurado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 xml:space="preserve">à 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>Devedora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 xml:space="preserve"> o prazo de 12 (doze) meses para desocupação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 xml:space="preserve"> do Imóvel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>;</w:t>
      </w:r>
    </w:p>
    <w:p w14:paraId="0D103F67" w14:textId="77777777" w:rsidR="000E0289" w:rsidRDefault="006D78A4" w:rsidP="000E0289">
      <w:pPr>
        <w:pStyle w:val="PargrafodaLista"/>
        <w:numPr>
          <w:ilvl w:val="0"/>
          <w:numId w:val="15"/>
        </w:numPr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0E0289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modificação da 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>r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>emuneração dos CRA e das CPR para que passe a ser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 xml:space="preserve">correspondente 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>à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 xml:space="preserve"> taxa pré-fixada de 10,5% 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 xml:space="preserve">(dez inteiros e cinco décimos por cento) 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>ao ano;</w:t>
      </w:r>
    </w:p>
    <w:p w14:paraId="24B70830" w14:textId="77777777" w:rsidR="000E0289" w:rsidRDefault="006D78A4" w:rsidP="000E0289">
      <w:pPr>
        <w:pStyle w:val="PargrafodaLista"/>
        <w:numPr>
          <w:ilvl w:val="0"/>
          <w:numId w:val="15"/>
        </w:numPr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0E0289">
        <w:rPr>
          <w:rFonts w:ascii="Open Sans" w:hAnsi="Open Sans" w:cs="Open Sans"/>
          <w:color w:val="000000" w:themeColor="text1"/>
          <w:sz w:val="20"/>
          <w:szCs w:val="20"/>
        </w:rPr>
        <w:t xml:space="preserve">modificação da 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>d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 xml:space="preserve">ata de 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>v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 xml:space="preserve">encimento 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>f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>inal dos CRA para que passe a ser em 20 de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>outubro de 2039, com a modificação do cronograma de pagamentos das CPR e dos CRA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 xml:space="preserve">para que passe a vigorar conforme o 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>“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>Anexo II-A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 xml:space="preserve">” 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>ao Edital</w:t>
      </w:r>
      <w:r w:rsidR="000E0289">
        <w:rPr>
          <w:rFonts w:ascii="Open Sans" w:hAnsi="Open Sans" w:cs="Open Sans"/>
          <w:color w:val="000000" w:themeColor="text1"/>
          <w:sz w:val="20"/>
          <w:szCs w:val="20"/>
        </w:rPr>
        <w:t xml:space="preserve"> de Convocação</w:t>
      </w:r>
      <w:r w:rsidRPr="000E0289">
        <w:rPr>
          <w:rFonts w:ascii="Open Sans" w:hAnsi="Open Sans" w:cs="Open Sans"/>
          <w:color w:val="000000" w:themeColor="text1"/>
          <w:sz w:val="20"/>
          <w:szCs w:val="20"/>
        </w:rPr>
        <w:t>;</w:t>
      </w:r>
    </w:p>
    <w:p w14:paraId="2544C97C" w14:textId="7D872C99" w:rsidR="003E3803" w:rsidRDefault="00FE4844" w:rsidP="003E3803">
      <w:pPr>
        <w:pStyle w:val="PargrafodaLista"/>
        <w:numPr>
          <w:ilvl w:val="0"/>
          <w:numId w:val="15"/>
        </w:numPr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liberação</w:t>
      </w:r>
      <w:r w:rsidR="006D78A4" w:rsidRPr="000E0289">
        <w:rPr>
          <w:rFonts w:ascii="Open Sans" w:hAnsi="Open Sans" w:cs="Open Sans"/>
          <w:color w:val="000000" w:themeColor="text1"/>
          <w:sz w:val="20"/>
          <w:szCs w:val="20"/>
        </w:rPr>
        <w:t xml:space="preserve"> dos recebíveis cedidos fiduciariamente ao CRA, mantendo-se as demais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6D78A4" w:rsidRPr="00FE4844">
        <w:rPr>
          <w:rFonts w:ascii="Open Sans" w:hAnsi="Open Sans" w:cs="Open Sans"/>
          <w:color w:val="000000" w:themeColor="text1"/>
          <w:sz w:val="20"/>
          <w:szCs w:val="20"/>
        </w:rPr>
        <w:t xml:space="preserve">garantias prestadas, </w:t>
      </w:r>
      <w:r>
        <w:rPr>
          <w:rFonts w:ascii="Open Sans" w:hAnsi="Open Sans" w:cs="Open Sans"/>
          <w:color w:val="000000" w:themeColor="text1"/>
          <w:sz w:val="20"/>
          <w:szCs w:val="20"/>
        </w:rPr>
        <w:t>a saber</w:t>
      </w:r>
      <w:r w:rsidR="006D78A4" w:rsidRPr="00FE4844">
        <w:rPr>
          <w:rFonts w:ascii="Open Sans" w:hAnsi="Open Sans" w:cs="Open Sans"/>
          <w:color w:val="000000" w:themeColor="text1"/>
          <w:sz w:val="20"/>
          <w:szCs w:val="20"/>
        </w:rPr>
        <w:t>: (</w:t>
      </w:r>
      <w:r w:rsidR="00433096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6D78A4" w:rsidRPr="00FE4844">
        <w:rPr>
          <w:rFonts w:ascii="Open Sans" w:hAnsi="Open Sans" w:cs="Open Sans"/>
          <w:color w:val="000000" w:themeColor="text1"/>
          <w:sz w:val="20"/>
          <w:szCs w:val="20"/>
        </w:rPr>
        <w:t xml:space="preserve">) </w:t>
      </w:r>
      <w:r>
        <w:rPr>
          <w:rFonts w:ascii="Open Sans" w:hAnsi="Open Sans" w:cs="Open Sans"/>
          <w:color w:val="000000" w:themeColor="text1"/>
          <w:sz w:val="20"/>
          <w:szCs w:val="20"/>
        </w:rPr>
        <w:t>Aval</w:t>
      </w:r>
      <w:r w:rsidR="006D78A4" w:rsidRPr="00FE4844">
        <w:rPr>
          <w:rFonts w:ascii="Open Sans" w:hAnsi="Open Sans" w:cs="Open Sans"/>
          <w:color w:val="000000" w:themeColor="text1"/>
          <w:sz w:val="20"/>
          <w:szCs w:val="20"/>
        </w:rPr>
        <w:t>; e (</w:t>
      </w:r>
      <w:r w:rsidR="00433096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="006D78A4" w:rsidRPr="00FE4844">
        <w:rPr>
          <w:rFonts w:ascii="Open Sans" w:hAnsi="Open Sans" w:cs="Open Sans"/>
          <w:color w:val="000000" w:themeColor="text1"/>
          <w:sz w:val="20"/>
          <w:szCs w:val="20"/>
        </w:rPr>
        <w:t>) Alienação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6D78A4" w:rsidRPr="00FE4844">
        <w:rPr>
          <w:rFonts w:ascii="Open Sans" w:hAnsi="Open Sans" w:cs="Open Sans"/>
          <w:color w:val="000000" w:themeColor="text1"/>
          <w:sz w:val="20"/>
          <w:szCs w:val="20"/>
        </w:rPr>
        <w:t>Fiduciária de Quotas, considerando-se que o Imóvel já seria</w:t>
      </w:r>
      <w:r w:rsidR="003E3803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6D78A4" w:rsidRPr="003E3803">
        <w:rPr>
          <w:rFonts w:ascii="Open Sans" w:hAnsi="Open Sans" w:cs="Open Sans"/>
          <w:color w:val="000000" w:themeColor="text1"/>
          <w:sz w:val="20"/>
          <w:szCs w:val="20"/>
        </w:rPr>
        <w:t>incorporado ao Patrimônio Separado</w:t>
      </w:r>
      <w:r w:rsidR="003E3803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6D78A4" w:rsidRPr="003E3803">
        <w:rPr>
          <w:rFonts w:ascii="Open Sans" w:hAnsi="Open Sans" w:cs="Open Sans"/>
          <w:color w:val="000000" w:themeColor="text1"/>
          <w:sz w:val="20"/>
          <w:szCs w:val="20"/>
        </w:rPr>
        <w:t xml:space="preserve"> em benefício dos Titulares dos CRA;</w:t>
      </w:r>
    </w:p>
    <w:p w14:paraId="2F075B5D" w14:textId="425B153A" w:rsidR="003E3803" w:rsidRDefault="003E3803" w:rsidP="003E3803">
      <w:pPr>
        <w:pStyle w:val="PargrafodaLista"/>
        <w:numPr>
          <w:ilvl w:val="0"/>
          <w:numId w:val="15"/>
        </w:numPr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6D78A4" w:rsidRPr="003E3803">
        <w:rPr>
          <w:rFonts w:ascii="Open Sans" w:hAnsi="Open Sans" w:cs="Open Sans"/>
          <w:color w:val="000000" w:themeColor="text1"/>
          <w:sz w:val="20"/>
          <w:szCs w:val="20"/>
        </w:rPr>
        <w:t>uspensão do procedimento arbitral em curso, ao invés da desistência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6D78A4" w:rsidRPr="003E3803">
        <w:rPr>
          <w:rFonts w:ascii="Open Sans" w:hAnsi="Open Sans" w:cs="Open Sans"/>
          <w:color w:val="000000" w:themeColor="text1"/>
          <w:sz w:val="20"/>
          <w:szCs w:val="20"/>
        </w:rPr>
        <w:t>anteriormente proposta à Devedora;</w:t>
      </w:r>
      <w:r w:rsidR="003621F6">
        <w:rPr>
          <w:rFonts w:ascii="Open Sans" w:hAnsi="Open Sans" w:cs="Open Sans"/>
          <w:color w:val="000000" w:themeColor="text1"/>
          <w:sz w:val="20"/>
          <w:szCs w:val="20"/>
        </w:rPr>
        <w:t xml:space="preserve"> e</w:t>
      </w:r>
    </w:p>
    <w:p w14:paraId="67C4ED53" w14:textId="5AAA5EED" w:rsidR="00BE5502" w:rsidRDefault="006D78A4" w:rsidP="00277C27">
      <w:pPr>
        <w:pStyle w:val="PargrafodaLista"/>
        <w:numPr>
          <w:ilvl w:val="0"/>
          <w:numId w:val="15"/>
        </w:numPr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3E3803">
        <w:rPr>
          <w:rFonts w:ascii="Open Sans" w:hAnsi="Open Sans" w:cs="Open Sans"/>
          <w:color w:val="000000" w:themeColor="text1"/>
          <w:sz w:val="20"/>
          <w:szCs w:val="20"/>
        </w:rPr>
        <w:t>homologação da reestruturação ora aprovada nos autos da execução de título</w:t>
      </w:r>
      <w:r w:rsidR="003E3803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3E3803">
        <w:rPr>
          <w:rFonts w:ascii="Open Sans" w:hAnsi="Open Sans" w:cs="Open Sans"/>
          <w:color w:val="000000" w:themeColor="text1"/>
          <w:sz w:val="20"/>
          <w:szCs w:val="20"/>
        </w:rPr>
        <w:t xml:space="preserve">executivo extrajudicial movida pela Securitizadora em </w:t>
      </w:r>
      <w:r w:rsidR="003E3803">
        <w:rPr>
          <w:rFonts w:ascii="Open Sans" w:hAnsi="Open Sans" w:cs="Open Sans"/>
          <w:color w:val="000000" w:themeColor="text1"/>
          <w:sz w:val="20"/>
          <w:szCs w:val="20"/>
        </w:rPr>
        <w:t>f</w:t>
      </w:r>
      <w:r w:rsidRPr="003E3803">
        <w:rPr>
          <w:rFonts w:ascii="Open Sans" w:hAnsi="Open Sans" w:cs="Open Sans"/>
          <w:color w:val="000000" w:themeColor="text1"/>
          <w:sz w:val="20"/>
          <w:szCs w:val="20"/>
        </w:rPr>
        <w:t>ace da Devedora, com eventual</w:t>
      </w:r>
      <w:r w:rsidR="003E3803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3E3803">
        <w:rPr>
          <w:rFonts w:ascii="Open Sans" w:hAnsi="Open Sans" w:cs="Open Sans"/>
          <w:color w:val="000000" w:themeColor="text1"/>
          <w:sz w:val="20"/>
          <w:szCs w:val="20"/>
        </w:rPr>
        <w:t>descumprimento das obrigações nela estabelecidas acarretando a ineficácia do quanto</w:t>
      </w:r>
      <w:r w:rsidR="003E3803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3E3803">
        <w:rPr>
          <w:rFonts w:ascii="Open Sans" w:hAnsi="Open Sans" w:cs="Open Sans"/>
          <w:color w:val="000000" w:themeColor="text1"/>
          <w:sz w:val="20"/>
          <w:szCs w:val="20"/>
        </w:rPr>
        <w:t>aprovado</w:t>
      </w:r>
      <w:r w:rsidR="008C3AB0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BD1B59">
        <w:rPr>
          <w:rStyle w:val="Refdenotaderodap"/>
          <w:rFonts w:ascii="Open Sans" w:hAnsi="Open Sans" w:cs="Open Sans"/>
          <w:color w:val="000000" w:themeColor="text1"/>
          <w:sz w:val="20"/>
          <w:szCs w:val="20"/>
        </w:rPr>
        <w:footnoteReference w:id="3"/>
      </w:r>
    </w:p>
    <w:p w14:paraId="6BD34747" w14:textId="5917EC78" w:rsidR="00CF78BE" w:rsidRPr="00C74E26" w:rsidRDefault="00CF78BE" w:rsidP="003621F6">
      <w:pPr>
        <w:widowControl w:val="0"/>
        <w:autoSpaceDE w:val="0"/>
        <w:autoSpaceDN w:val="0"/>
        <w:adjustRightInd w:val="0"/>
        <w:spacing w:before="280" w:after="140" w:line="290" w:lineRule="auto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Pr="00C74E26" w:rsidRDefault="00B15C01" w:rsidP="003621F6">
      <w:pPr>
        <w:pStyle w:val="Estilo"/>
        <w:pBdr>
          <w:bottom w:val="single" w:sz="4" w:space="1" w:color="auto"/>
        </w:pBdr>
        <w:spacing w:before="280" w:after="140" w:line="290" w:lineRule="auto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E2A262E" w14:textId="0B920CC4" w:rsidR="00876B4F" w:rsidRPr="00876B4F" w:rsidRDefault="00876B4F" w:rsidP="00876B4F">
      <w:pPr>
        <w:pStyle w:val="PargrafodaLista"/>
        <w:numPr>
          <w:ilvl w:val="0"/>
          <w:numId w:val="13"/>
        </w:numPr>
        <w:spacing w:before="280" w:after="140" w:line="290" w:lineRule="auto"/>
        <w:ind w:left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76B4F">
        <w:rPr>
          <w:rFonts w:ascii="Open Sans" w:hAnsi="Open Sans" w:cs="Open Sans"/>
          <w:color w:val="000000" w:themeColor="text1"/>
          <w:sz w:val="20"/>
          <w:szCs w:val="20"/>
        </w:rPr>
        <w:t xml:space="preserve">Caso não seja aprovado o item </w:t>
      </w:r>
      <w:r>
        <w:rPr>
          <w:rFonts w:ascii="Open Sans" w:hAnsi="Open Sans" w:cs="Open Sans"/>
          <w:color w:val="000000" w:themeColor="text1"/>
          <w:sz w:val="20"/>
          <w:szCs w:val="20"/>
        </w:rPr>
        <w:t>“</w:t>
      </w:r>
      <w:r w:rsidRPr="00876B4F">
        <w:rPr>
          <w:rFonts w:ascii="Open Sans" w:hAnsi="Open Sans" w:cs="Open Sans"/>
          <w:color w:val="000000" w:themeColor="text1"/>
          <w:sz w:val="20"/>
          <w:szCs w:val="20"/>
        </w:rPr>
        <w:t>(i)</w:t>
      </w:r>
      <w:r>
        <w:rPr>
          <w:rFonts w:ascii="Open Sans" w:hAnsi="Open Sans" w:cs="Open Sans"/>
          <w:color w:val="000000" w:themeColor="text1"/>
          <w:sz w:val="20"/>
          <w:szCs w:val="20"/>
        </w:rPr>
        <w:t>”</w:t>
      </w:r>
      <w:r w:rsidRPr="00876B4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>anterior</w:t>
      </w:r>
      <w:r w:rsidRPr="00876B4F">
        <w:rPr>
          <w:rFonts w:ascii="Open Sans" w:hAnsi="Open Sans" w:cs="Open Sans"/>
          <w:color w:val="000000" w:themeColor="text1"/>
          <w:sz w:val="20"/>
          <w:szCs w:val="20"/>
        </w:rPr>
        <w:t>, a aprovação, ou não, da proposta de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876B4F">
        <w:rPr>
          <w:rFonts w:ascii="Open Sans" w:hAnsi="Open Sans" w:cs="Open Sans"/>
          <w:color w:val="000000" w:themeColor="text1"/>
          <w:sz w:val="20"/>
          <w:szCs w:val="20"/>
        </w:rPr>
        <w:t>reestruturação da Operação</w:t>
      </w:r>
      <w:r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876B4F">
        <w:rPr>
          <w:rFonts w:ascii="Open Sans" w:hAnsi="Open Sans" w:cs="Open Sans"/>
          <w:color w:val="000000" w:themeColor="text1"/>
          <w:sz w:val="20"/>
          <w:szCs w:val="20"/>
        </w:rPr>
        <w:t xml:space="preserve"> enviada por Titulares dos CRA, consistente das seguintes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876B4F">
        <w:rPr>
          <w:rFonts w:ascii="Open Sans" w:hAnsi="Open Sans" w:cs="Open Sans"/>
          <w:color w:val="000000" w:themeColor="text1"/>
          <w:sz w:val="20"/>
          <w:szCs w:val="20"/>
        </w:rPr>
        <w:t>condições e/ou modificações das características dos CRA e/ou das CPR, conforme aplicável:</w:t>
      </w:r>
    </w:p>
    <w:p w14:paraId="55D2B352" w14:textId="2D94D522" w:rsidR="00876B4F" w:rsidRDefault="00876B4F" w:rsidP="00876B4F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76B4F">
        <w:rPr>
          <w:rFonts w:ascii="Open Sans" w:hAnsi="Open Sans" w:cs="Open Sans"/>
          <w:color w:val="000000" w:themeColor="text1"/>
          <w:sz w:val="20"/>
          <w:szCs w:val="20"/>
        </w:rPr>
        <w:t xml:space="preserve">reconhecimento </w:t>
      </w:r>
      <w:r w:rsidRPr="00876B4F">
        <w:rPr>
          <w:rFonts w:ascii="Open Sans" w:hAnsi="Open Sans" w:cs="Open Sans"/>
          <w:color w:val="000000" w:themeColor="text1"/>
          <w:sz w:val="20"/>
          <w:szCs w:val="20"/>
        </w:rPr>
        <w:t xml:space="preserve">do saldo devedor dos </w:t>
      </w:r>
      <w:r w:rsidRPr="00876B4F">
        <w:rPr>
          <w:rFonts w:ascii="Open Sans" w:hAnsi="Open Sans" w:cs="Open Sans"/>
          <w:color w:val="000000" w:themeColor="text1"/>
          <w:sz w:val="20"/>
          <w:szCs w:val="20"/>
        </w:rPr>
        <w:t>CRA em R$</w:t>
      </w:r>
      <w:r>
        <w:rPr>
          <w:rFonts w:ascii="Open Sans" w:hAnsi="Open Sans" w:cs="Open Sans"/>
          <w:color w:val="000000" w:themeColor="text1"/>
          <w:sz w:val="20"/>
          <w:szCs w:val="20"/>
        </w:rPr>
        <w:t>°</w:t>
      </w:r>
      <w:r w:rsidRPr="00876B4F">
        <w:rPr>
          <w:rFonts w:ascii="Open Sans" w:hAnsi="Open Sans" w:cs="Open Sans"/>
          <w:color w:val="000000" w:themeColor="text1"/>
          <w:sz w:val="20"/>
          <w:szCs w:val="20"/>
        </w:rPr>
        <w:t>26.977.272,94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(vinte e seis milhões, novecentos e setenta e sete mil e duzentos e setenta e dois reais e noventa e quatro centavos)</w:t>
      </w:r>
      <w:r w:rsidRPr="00876B4F">
        <w:rPr>
          <w:rFonts w:ascii="Open Sans" w:hAnsi="Open Sans" w:cs="Open Sans"/>
          <w:color w:val="000000" w:themeColor="text1"/>
          <w:sz w:val="20"/>
          <w:szCs w:val="20"/>
        </w:rPr>
        <w:t>, considerando-se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876B4F">
        <w:rPr>
          <w:rFonts w:ascii="Open Sans" w:hAnsi="Open Sans" w:cs="Open Sans"/>
          <w:color w:val="000000" w:themeColor="text1"/>
          <w:sz w:val="20"/>
          <w:szCs w:val="20"/>
        </w:rPr>
        <w:t>como ponto de partida, a data de 30 de setembro de 2024</w:t>
      </w:r>
      <w:r w:rsidR="0015515D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3D6149">
        <w:rPr>
          <w:rStyle w:val="Refdenotaderodap"/>
          <w:rFonts w:ascii="Open Sans" w:hAnsi="Open Sans" w:cs="Open Sans"/>
          <w:color w:val="000000" w:themeColor="text1"/>
          <w:sz w:val="20"/>
          <w:szCs w:val="20"/>
        </w:rPr>
        <w:footnoteReference w:id="4"/>
      </w:r>
    </w:p>
    <w:p w14:paraId="02B500FB" w14:textId="77777777" w:rsidR="0015515D" w:rsidRDefault="00876B4F" w:rsidP="0015515D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76B4F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quitação parcial do </w:t>
      </w:r>
      <w:r w:rsidR="0015515D" w:rsidRPr="00876B4F">
        <w:rPr>
          <w:rFonts w:ascii="Open Sans" w:hAnsi="Open Sans" w:cs="Open Sans"/>
          <w:color w:val="000000" w:themeColor="text1"/>
          <w:sz w:val="20"/>
          <w:szCs w:val="20"/>
        </w:rPr>
        <w:t xml:space="preserve">saldo devedor </w:t>
      </w:r>
      <w:r w:rsidRPr="00876B4F">
        <w:rPr>
          <w:rFonts w:ascii="Open Sans" w:hAnsi="Open Sans" w:cs="Open Sans"/>
          <w:color w:val="000000" w:themeColor="text1"/>
          <w:sz w:val="20"/>
          <w:szCs w:val="20"/>
        </w:rPr>
        <w:t>dos CRA na quantia de R$</w:t>
      </w:r>
      <w:r w:rsidR="0015515D">
        <w:rPr>
          <w:rFonts w:ascii="Open Sans" w:hAnsi="Open Sans" w:cs="Open Sans"/>
          <w:color w:val="000000" w:themeColor="text1"/>
          <w:sz w:val="20"/>
          <w:szCs w:val="20"/>
        </w:rPr>
        <w:t>°</w:t>
      </w:r>
      <w:r w:rsidRPr="00876B4F">
        <w:rPr>
          <w:rFonts w:ascii="Open Sans" w:hAnsi="Open Sans" w:cs="Open Sans"/>
          <w:color w:val="000000" w:themeColor="text1"/>
          <w:sz w:val="20"/>
          <w:szCs w:val="20"/>
        </w:rPr>
        <w:t>10.000.000,00 (dez</w:t>
      </w:r>
      <w:r w:rsidR="0015515D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15515D">
        <w:rPr>
          <w:rFonts w:ascii="Open Sans" w:hAnsi="Open Sans" w:cs="Open Sans"/>
          <w:color w:val="000000" w:themeColor="text1"/>
          <w:sz w:val="20"/>
          <w:szCs w:val="20"/>
        </w:rPr>
        <w:t>milhões de reais) com a dação em pagamento do Imóvel;</w:t>
      </w:r>
    </w:p>
    <w:p w14:paraId="768928BC" w14:textId="77777777" w:rsidR="007F1498" w:rsidRDefault="005A20BB" w:rsidP="0015515D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modificação da </w:t>
      </w:r>
      <w:r w:rsidR="00EA76F2">
        <w:rPr>
          <w:rFonts w:ascii="Open Sans" w:hAnsi="Open Sans" w:cs="Open Sans"/>
          <w:color w:val="000000" w:themeColor="text1"/>
          <w:sz w:val="20"/>
          <w:szCs w:val="20"/>
        </w:rPr>
        <w:t>r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emuneração dos CRA e das CPR para que corresponda a 100% (cem por cento) da variação acumulada do Certificado de Depósito Interbancário </w:t>
      </w:r>
      <w:r w:rsidR="007F1498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="007F1498" w:rsidRPr="007F1498">
        <w:rPr>
          <w:rFonts w:ascii="Open Sans" w:hAnsi="Open Sans" w:cs="Open Sans"/>
          <w:color w:val="000000" w:themeColor="text1"/>
          <w:sz w:val="20"/>
          <w:szCs w:val="20"/>
          <w:u w:val="single"/>
        </w:rPr>
        <w:t>CDI</w:t>
      </w:r>
      <w:r w:rsidR="007F1498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, acrescida exponencialmente de um </w:t>
      </w:r>
      <w:r w:rsidRPr="007F1498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spread 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>equivalente a 3% (três por cento) (“</w:t>
      </w:r>
      <w:r w:rsidRPr="007F1498">
        <w:rPr>
          <w:rFonts w:ascii="Open Sans" w:hAnsi="Open Sans" w:cs="Open Sans"/>
          <w:color w:val="000000" w:themeColor="text1"/>
          <w:sz w:val="20"/>
          <w:szCs w:val="20"/>
          <w:u w:val="single"/>
        </w:rPr>
        <w:t>CDI + 3%</w:t>
      </w:r>
      <w:r w:rsidRPr="007F1498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F1498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 a partir de 1</w:t>
      </w:r>
      <w:r w:rsidR="007F1498">
        <w:rPr>
          <w:rFonts w:ascii="Open Sans" w:hAnsi="Open Sans" w:cs="Open Sans"/>
          <w:color w:val="000000" w:themeColor="text1"/>
          <w:sz w:val="20"/>
          <w:szCs w:val="20"/>
        </w:rPr>
        <w:t>º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 de outubro de 2024; </w:t>
      </w:r>
    </w:p>
    <w:p w14:paraId="0AF033AD" w14:textId="05F86044" w:rsidR="00623869" w:rsidRDefault="005A20BB" w:rsidP="0015515D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modificação da </w:t>
      </w:r>
      <w:r w:rsidR="007F1498"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data de vencimento final dos 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>CRA para que passe a ser</w:t>
      </w:r>
      <w:r w:rsidR="0039480C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em 20 de outubro de 2039, com a modificação do cronograma de pagamentos das CPR e dos CRA para que passe a vigorar conforme o </w:t>
      </w:r>
      <w:r w:rsidR="007F1498">
        <w:rPr>
          <w:rFonts w:ascii="Open Sans" w:hAnsi="Open Sans" w:cs="Open Sans"/>
          <w:color w:val="000000" w:themeColor="text1"/>
          <w:sz w:val="20"/>
          <w:szCs w:val="20"/>
        </w:rPr>
        <w:t>“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>Anexo II-B</w:t>
      </w:r>
      <w:r w:rsidR="007F1498">
        <w:rPr>
          <w:rFonts w:ascii="Open Sans" w:hAnsi="Open Sans" w:cs="Open Sans"/>
          <w:color w:val="000000" w:themeColor="text1"/>
          <w:sz w:val="20"/>
          <w:szCs w:val="20"/>
        </w:rPr>
        <w:t>”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 ao Edital</w:t>
      </w:r>
      <w:r w:rsidR="007F1498">
        <w:rPr>
          <w:rFonts w:ascii="Open Sans" w:hAnsi="Open Sans" w:cs="Open Sans"/>
          <w:color w:val="000000" w:themeColor="text1"/>
          <w:sz w:val="20"/>
          <w:szCs w:val="20"/>
        </w:rPr>
        <w:t xml:space="preserve"> de Convocação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>;</w:t>
      </w:r>
    </w:p>
    <w:p w14:paraId="5DA7B1AE" w14:textId="3AF563E5" w:rsidR="00014614" w:rsidRDefault="005A20BB" w:rsidP="0015515D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A20BB">
        <w:rPr>
          <w:rFonts w:ascii="Open Sans" w:hAnsi="Open Sans" w:cs="Open Sans"/>
          <w:color w:val="000000" w:themeColor="text1"/>
          <w:sz w:val="20"/>
          <w:szCs w:val="20"/>
        </w:rPr>
        <w:t>celebração de contrato de locação</w:t>
      </w:r>
      <w:r w:rsidR="00623869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 entre a Devedora e a Securitizadora</w:t>
      </w:r>
      <w:r w:rsidR="00623869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 para que a Devedora mantenha suas atividades mediante pagamento de aluguel mensal de R$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°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>77.117,00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 xml:space="preserve"> (setenta e sete mil e cento e dezessete reais), observado que: (</w:t>
      </w:r>
      <w:r w:rsidR="00433096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)</w:t>
      </w:r>
      <w:r w:rsidR="00724DB3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ventual interesse por terceiro para aquisição do Imóvel deve ser levado para conhecimento da 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Devedora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 qual será outorgad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 do direito de preferência na aquisição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; e (</w:t>
      </w:r>
      <w:r w:rsidR="00433096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) e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m caso de venda 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 xml:space="preserve">do Imóvel 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para terceiro(s), será assegurado à 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Devedora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 o prazo de 120 (cento e vinte) dias para desocupação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;</w:t>
      </w:r>
    </w:p>
    <w:p w14:paraId="59E51107" w14:textId="77777777" w:rsidR="00014614" w:rsidRDefault="005A20BB" w:rsidP="0015515D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A20BB">
        <w:rPr>
          <w:rFonts w:ascii="Open Sans" w:hAnsi="Open Sans" w:cs="Open Sans"/>
          <w:color w:val="000000" w:themeColor="text1"/>
          <w:sz w:val="20"/>
          <w:szCs w:val="20"/>
        </w:rPr>
        <w:t>cumprimento integral do Contrato de Cessão Fiduciária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 celebrado no âmbito da Operação, especialmente no que se refere a vendas para as 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 xml:space="preserve">empresas 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Tenda, Sapore e Walmart, com o depósito dos valores em conta </w:t>
      </w:r>
      <w:proofErr w:type="spellStart"/>
      <w:r w:rsidR="00014614" w:rsidRPr="0001461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</w:t>
      </w:r>
      <w:r w:rsidRPr="0001461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scrow</w:t>
      </w:r>
      <w:proofErr w:type="spellEnd"/>
      <w:r w:rsidRPr="0001461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a ser indicada pela Securitizadora, sendo que serão retidos na 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 xml:space="preserve">referida 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>conta todos os recursos necessários ao pagamento de amortização e remuneração mensais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 xml:space="preserve"> dos CRA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 ou 1% 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 xml:space="preserve">(um por cento) 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>do faturamento bruto da Devedora, o que for maior, com a liberação dos excedentes à Devedora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, observado que, h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avendo obrigações pecuniárias pendentes pela Devedora, 100% 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 xml:space="preserve">(cem por cento) 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dos recursos recebidos na conta </w:t>
      </w:r>
      <w:proofErr w:type="spellStart"/>
      <w:r w:rsidR="00014614" w:rsidRPr="0001461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</w:t>
      </w:r>
      <w:r w:rsidRPr="0001461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scrow</w:t>
      </w:r>
      <w:proofErr w:type="spellEnd"/>
      <w:r w:rsidRPr="0001461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>serão retidos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 xml:space="preserve"> pela Securitizadora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; </w:t>
      </w:r>
    </w:p>
    <w:p w14:paraId="213BE386" w14:textId="77777777" w:rsidR="00014614" w:rsidRDefault="005A20BB" w:rsidP="0015515D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A20BB">
        <w:rPr>
          <w:rFonts w:ascii="Open Sans" w:hAnsi="Open Sans" w:cs="Open Sans"/>
          <w:color w:val="000000" w:themeColor="text1"/>
          <w:sz w:val="20"/>
          <w:szCs w:val="20"/>
        </w:rPr>
        <w:t>desistência do procedimento arbitral em curso requerido pela Devedora;</w:t>
      </w:r>
    </w:p>
    <w:p w14:paraId="7AB757D1" w14:textId="66B0D7FF" w:rsidR="00014614" w:rsidRDefault="005A20BB" w:rsidP="0015515D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homologação da reestruturação ora aprovada nos autos da execução de título executivo extrajudicial movida pela Securitizadora em 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f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>ace da Devedora, com eventual descumprimento das obrigações nela estabelecidas acarretando a ineficácia do quanto aprovado e levantamento em favor do Patrimônio Separado de todos os valores bloqueados no âmbito da execução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, observado que, e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>m caso de qualquer descumprimento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 por parte da 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Devedora,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 será concedido prazo de 5 (cinco) dias úteis para regularização, sob pena de perda integral das condições 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ora estabelecidas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>, bem como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 xml:space="preserve"> de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 qualquer direito de preferência ou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 xml:space="preserve"> de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 uso do Imóvel pela 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Devedora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; </w:t>
      </w:r>
    </w:p>
    <w:p w14:paraId="257497D2" w14:textId="77777777" w:rsidR="00014614" w:rsidRDefault="005A20BB" w:rsidP="0015515D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A20BB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estabelecimento de </w:t>
      </w:r>
      <w:proofErr w:type="spellStart"/>
      <w:r w:rsidRPr="0001461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right</w:t>
      </w:r>
      <w:proofErr w:type="spellEnd"/>
      <w:r w:rsidRPr="0001461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-</w:t>
      </w:r>
      <w:proofErr w:type="spellStart"/>
      <w:r w:rsidRPr="0001461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to</w:t>
      </w:r>
      <w:proofErr w:type="spellEnd"/>
      <w:r w:rsidRPr="0001461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-match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 a todos os Titular dos CRA, indistintamente, na cotação de operação de antecipação de recebíveis pela Devedora; </w:t>
      </w:r>
    </w:p>
    <w:p w14:paraId="4EF40C92" w14:textId="77777777" w:rsidR="00014614" w:rsidRDefault="005A20BB" w:rsidP="0015515D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A20BB">
        <w:rPr>
          <w:rFonts w:ascii="Open Sans" w:hAnsi="Open Sans" w:cs="Open Sans"/>
          <w:color w:val="000000" w:themeColor="text1"/>
          <w:sz w:val="20"/>
          <w:szCs w:val="20"/>
        </w:rPr>
        <w:t>destituição de todos os administradores da Devedora e eleição de novos administradores, a critério da Devedora, dentre lista de indicações elaborada pela Securitizadora;</w:t>
      </w:r>
    </w:p>
    <w:p w14:paraId="3B7E09D2" w14:textId="1047B82B" w:rsidR="00014614" w:rsidRDefault="005A20BB" w:rsidP="0015515D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outorga de alienação fiduciária da marca 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“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>Pantera Alimentos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”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; </w:t>
      </w:r>
    </w:p>
    <w:p w14:paraId="3E8B4C51" w14:textId="5E6D8097" w:rsidR="003D0A75" w:rsidRDefault="005A20BB" w:rsidP="0015515D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reconhecimento expresso do valor e 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 xml:space="preserve">da 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natureza extraconcursal do 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aldo 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d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evedor </w:t>
      </w:r>
      <w:r w:rsidR="00014614">
        <w:rPr>
          <w:rFonts w:ascii="Open Sans" w:hAnsi="Open Sans" w:cs="Open Sans"/>
          <w:color w:val="000000" w:themeColor="text1"/>
          <w:sz w:val="20"/>
          <w:szCs w:val="20"/>
        </w:rPr>
        <w:t>dos CRA,</w:t>
      </w:r>
      <w:r w:rsidR="00111659">
        <w:rPr>
          <w:rFonts w:ascii="Open Sans" w:hAnsi="Open Sans" w:cs="Open Sans"/>
          <w:color w:val="000000" w:themeColor="text1"/>
          <w:sz w:val="20"/>
          <w:szCs w:val="20"/>
        </w:rPr>
        <w:t xml:space="preserve"> referido no item “(a)” anterior,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 xml:space="preserve"> pela Devedora e pelos Avalistas</w:t>
      </w:r>
      <w:r w:rsidR="004E0603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11165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5A20BB">
        <w:rPr>
          <w:rFonts w:ascii="Open Sans" w:hAnsi="Open Sans" w:cs="Open Sans"/>
          <w:color w:val="000000" w:themeColor="text1"/>
          <w:sz w:val="20"/>
          <w:szCs w:val="20"/>
        </w:rPr>
        <w:t>e</w:t>
      </w:r>
    </w:p>
    <w:p w14:paraId="1E7CAAA1" w14:textId="0EDA8CFA" w:rsidR="00111659" w:rsidRDefault="00EA76F2" w:rsidP="0015515D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before="280" w:after="140" w:line="290" w:lineRule="auto"/>
        <w:ind w:left="1418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A76F2">
        <w:rPr>
          <w:rFonts w:ascii="Open Sans" w:hAnsi="Open Sans" w:cs="Open Sans"/>
          <w:color w:val="000000" w:themeColor="text1"/>
          <w:sz w:val="20"/>
          <w:szCs w:val="20"/>
        </w:rPr>
        <w:t>assinatura, pelos sócios da Devedora, de mandato em benefício da Securitizadora para a estruturação de operação de venda das participações de emissão da Devedora</w:t>
      </w:r>
      <w:r w:rsidR="00111659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Pr="00EA76F2">
        <w:rPr>
          <w:rFonts w:ascii="Open Sans" w:hAnsi="Open Sans" w:cs="Open Sans"/>
          <w:color w:val="000000" w:themeColor="text1"/>
          <w:sz w:val="20"/>
          <w:szCs w:val="20"/>
        </w:rPr>
        <w:t>por valor a ser calculado com base em duas avaliações</w:t>
      </w:r>
      <w:r w:rsidR="00111659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433096">
        <w:rPr>
          <w:rFonts w:ascii="Open Sans" w:hAnsi="Open Sans" w:cs="Open Sans"/>
          <w:color w:val="000000" w:themeColor="text1"/>
          <w:sz w:val="20"/>
          <w:szCs w:val="20"/>
        </w:rPr>
        <w:t>(1</w:t>
      </w:r>
      <w:r w:rsidR="00111659">
        <w:rPr>
          <w:rFonts w:ascii="Open Sans" w:hAnsi="Open Sans" w:cs="Open Sans"/>
          <w:color w:val="000000" w:themeColor="text1"/>
          <w:sz w:val="20"/>
          <w:szCs w:val="20"/>
        </w:rPr>
        <w:t xml:space="preserve">) </w:t>
      </w:r>
      <w:r w:rsidRPr="00EA76F2">
        <w:rPr>
          <w:rFonts w:ascii="Open Sans" w:hAnsi="Open Sans" w:cs="Open Sans"/>
          <w:color w:val="000000" w:themeColor="text1"/>
          <w:sz w:val="20"/>
          <w:szCs w:val="20"/>
        </w:rPr>
        <w:t>uma elaborada por profissional indicado pela Devedora</w:t>
      </w:r>
      <w:r w:rsidR="00111659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Pr="00EA76F2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111659">
        <w:rPr>
          <w:rFonts w:ascii="Open Sans" w:hAnsi="Open Sans" w:cs="Open Sans"/>
          <w:color w:val="000000" w:themeColor="text1"/>
          <w:sz w:val="20"/>
          <w:szCs w:val="20"/>
        </w:rPr>
        <w:t>(</w:t>
      </w:r>
      <w:r w:rsidR="00433096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="00111659">
        <w:rPr>
          <w:rFonts w:ascii="Open Sans" w:hAnsi="Open Sans" w:cs="Open Sans"/>
          <w:color w:val="000000" w:themeColor="text1"/>
          <w:sz w:val="20"/>
          <w:szCs w:val="20"/>
        </w:rPr>
        <w:t xml:space="preserve">) </w:t>
      </w:r>
      <w:r w:rsidRPr="00EA76F2">
        <w:rPr>
          <w:rFonts w:ascii="Open Sans" w:hAnsi="Open Sans" w:cs="Open Sans"/>
          <w:color w:val="000000" w:themeColor="text1"/>
          <w:sz w:val="20"/>
          <w:szCs w:val="20"/>
        </w:rPr>
        <w:t>outra elaborada por profissional indicado pela Securitizadora, com discrepância máxima de 20% (vinte por cento) entre os resultados de ambas as avaliações.</w:t>
      </w:r>
      <w:r w:rsidR="00654D72">
        <w:rPr>
          <w:rStyle w:val="Refdenotaderodap"/>
          <w:rFonts w:ascii="Open Sans" w:hAnsi="Open Sans" w:cs="Open Sans"/>
          <w:color w:val="000000" w:themeColor="text1"/>
          <w:sz w:val="20"/>
          <w:szCs w:val="20"/>
        </w:rPr>
        <w:footnoteReference w:id="5"/>
      </w:r>
      <w:r w:rsidRPr="00EA76F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2EBC2809" w14:textId="6F05A59D" w:rsidR="00CC2561" w:rsidRPr="00C74E26" w:rsidRDefault="00CC2561" w:rsidP="00A93703">
      <w:pPr>
        <w:widowControl w:val="0"/>
        <w:autoSpaceDE w:val="0"/>
        <w:autoSpaceDN w:val="0"/>
        <w:adjustRightInd w:val="0"/>
        <w:spacing w:before="280" w:after="140" w:line="290" w:lineRule="auto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2E7BBD7" w14:textId="77777777" w:rsidR="00C76229" w:rsidRPr="00C74E26" w:rsidRDefault="00C76229" w:rsidP="00C74E26">
      <w:pPr>
        <w:pStyle w:val="Estilo"/>
        <w:pBdr>
          <w:bottom w:val="single" w:sz="4" w:space="1" w:color="auto"/>
        </w:pBdr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D80F5BB" w14:textId="477E6528" w:rsidR="003A233D" w:rsidRPr="00B67E5B" w:rsidRDefault="00D42495" w:rsidP="00B67E5B">
      <w:pPr>
        <w:pStyle w:val="PargrafodaLista"/>
        <w:numPr>
          <w:ilvl w:val="0"/>
          <w:numId w:val="13"/>
        </w:numPr>
        <w:spacing w:before="280" w:after="140" w:line="290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246215" w:rsidRPr="00B67E5B">
        <w:rPr>
          <w:rFonts w:ascii="Open Sans" w:hAnsi="Open Sans" w:cs="Open Sans"/>
          <w:color w:val="000000" w:themeColor="text1"/>
          <w:sz w:val="20"/>
          <w:szCs w:val="20"/>
        </w:rPr>
        <w:t xml:space="preserve"> autorização ou não para que a Securitizadora e o Agente Fiduciário pratiquem todo e qualquer ato, celebrem todos e quaisquer contratos, aditamentos ou documentos necessários para a efetivação e implementação das matérias constantes da </w:t>
      </w:r>
      <w:r w:rsidR="000B00F9" w:rsidRPr="00B67E5B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246215" w:rsidRPr="00B67E5B">
        <w:rPr>
          <w:rFonts w:ascii="Open Sans" w:hAnsi="Open Sans" w:cs="Open Sans"/>
          <w:color w:val="000000" w:themeColor="text1"/>
          <w:sz w:val="20"/>
          <w:szCs w:val="20"/>
        </w:rPr>
        <w:t xml:space="preserve">rdem do </w:t>
      </w:r>
      <w:r w:rsidR="000B00F9" w:rsidRPr="00B67E5B">
        <w:rPr>
          <w:rFonts w:ascii="Open Sans" w:hAnsi="Open Sans" w:cs="Open Sans"/>
          <w:color w:val="000000" w:themeColor="text1"/>
          <w:sz w:val="20"/>
          <w:szCs w:val="20"/>
        </w:rPr>
        <w:t>d</w:t>
      </w:r>
      <w:r w:rsidR="00246215" w:rsidRPr="00B67E5B">
        <w:rPr>
          <w:rFonts w:ascii="Open Sans" w:hAnsi="Open Sans" w:cs="Open Sans"/>
          <w:color w:val="000000" w:themeColor="text1"/>
          <w:sz w:val="20"/>
          <w:szCs w:val="20"/>
        </w:rPr>
        <w:t>ia</w:t>
      </w:r>
      <w:r w:rsidR="000B00F9" w:rsidRPr="00B67E5B">
        <w:rPr>
          <w:rFonts w:ascii="Open Sans" w:hAnsi="Open Sans" w:cs="Open Sans"/>
          <w:color w:val="000000" w:themeColor="text1"/>
          <w:sz w:val="20"/>
          <w:szCs w:val="20"/>
        </w:rPr>
        <w:t xml:space="preserve"> do Edital de Convocação (“</w:t>
      </w:r>
      <w:r w:rsidR="000B00F9" w:rsidRPr="00B67E5B">
        <w:rPr>
          <w:rFonts w:ascii="Open Sans" w:hAnsi="Open Sans" w:cs="Open Sans"/>
          <w:color w:val="000000" w:themeColor="text1"/>
          <w:sz w:val="20"/>
          <w:szCs w:val="20"/>
          <w:u w:val="single"/>
        </w:rPr>
        <w:t>Ordem do Dia</w:t>
      </w:r>
      <w:r w:rsidR="000B00F9" w:rsidRPr="00B67E5B">
        <w:rPr>
          <w:rFonts w:ascii="Open Sans" w:hAnsi="Open Sans" w:cs="Open Sans"/>
          <w:color w:val="000000" w:themeColor="text1"/>
          <w:sz w:val="20"/>
          <w:szCs w:val="20"/>
        </w:rPr>
        <w:t>”),</w:t>
      </w:r>
      <w:r w:rsidR="00246215" w:rsidRPr="00B67E5B">
        <w:rPr>
          <w:rFonts w:ascii="Open Sans" w:hAnsi="Open Sans" w:cs="Open Sans"/>
          <w:color w:val="000000" w:themeColor="text1"/>
          <w:sz w:val="20"/>
          <w:szCs w:val="20"/>
        </w:rPr>
        <w:t xml:space="preserve"> nos Documentos da Operação</w:t>
      </w:r>
      <w:r w:rsidR="00246215" w:rsidRPr="00B67E5B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4AD98FE6" w14:textId="77777777" w:rsidR="00380E67" w:rsidRPr="00C74E26" w:rsidRDefault="00380E67" w:rsidP="004E0603">
      <w:pPr>
        <w:widowControl w:val="0"/>
        <w:autoSpaceDE w:val="0"/>
        <w:autoSpaceDN w:val="0"/>
        <w:adjustRightInd w:val="0"/>
        <w:spacing w:before="280" w:after="140" w:line="290" w:lineRule="auto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9CC3762" w14:textId="77777777" w:rsidR="00380E67" w:rsidRPr="00C74E26" w:rsidRDefault="00380E67" w:rsidP="00C74E26">
      <w:pPr>
        <w:pStyle w:val="Estilo"/>
        <w:pBdr>
          <w:bottom w:val="single" w:sz="4" w:space="1" w:color="auto"/>
        </w:pBdr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6F2635F" w14:textId="77777777" w:rsidR="00892468" w:rsidRDefault="00892468" w:rsidP="00FC1DD0">
      <w:pPr>
        <w:spacing w:before="280" w:after="140" w:line="290" w:lineRule="auto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EA3F11" w:rsidRPr="00C74E26" w14:paraId="17D6FEE2" w14:textId="77777777" w:rsidTr="00230ED8">
        <w:trPr>
          <w:trHeight w:val="127"/>
        </w:trPr>
        <w:tc>
          <w:tcPr>
            <w:tcW w:w="3261" w:type="dxa"/>
            <w:vAlign w:val="center"/>
          </w:tcPr>
          <w:p w14:paraId="44688FFC" w14:textId="77777777" w:rsidR="00EA3F11" w:rsidRPr="00C74E26" w:rsidRDefault="00EA3F11" w:rsidP="00230ED8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  <w:r>
              <w:rPr>
                <w:rFonts w:ascii="Open Sans" w:hAnsi="Open Sans" w:cs="Open Sans"/>
                <w:shd w:val="clear" w:color="auto" w:fill="FFFFFF"/>
              </w:rPr>
              <w:t>Local:</w:t>
            </w:r>
          </w:p>
        </w:tc>
        <w:tc>
          <w:tcPr>
            <w:tcW w:w="5811" w:type="dxa"/>
            <w:vAlign w:val="center"/>
          </w:tcPr>
          <w:p w14:paraId="7A688C30" w14:textId="77777777" w:rsidR="00EA3F11" w:rsidRPr="00C74E26" w:rsidRDefault="00EA3F11" w:rsidP="00230ED8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EA3F11" w:rsidRPr="00C74E26" w14:paraId="1107BBA5" w14:textId="77777777" w:rsidTr="00230ED8">
        <w:tc>
          <w:tcPr>
            <w:tcW w:w="3261" w:type="dxa"/>
            <w:vAlign w:val="center"/>
          </w:tcPr>
          <w:p w14:paraId="2DFCD7E1" w14:textId="77777777" w:rsidR="00EA3F11" w:rsidRPr="00C74E26" w:rsidRDefault="00EA3F11" w:rsidP="00230ED8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  <w:r>
              <w:rPr>
                <w:rFonts w:ascii="Open Sans" w:hAnsi="Open Sans" w:cs="Open Sans"/>
                <w:shd w:val="clear" w:color="auto" w:fill="FFFFFF"/>
              </w:rPr>
              <w:t>Data:</w:t>
            </w:r>
          </w:p>
        </w:tc>
        <w:tc>
          <w:tcPr>
            <w:tcW w:w="5811" w:type="dxa"/>
            <w:vAlign w:val="center"/>
          </w:tcPr>
          <w:p w14:paraId="57F299EB" w14:textId="77777777" w:rsidR="00EA3F11" w:rsidRPr="00C74E26" w:rsidRDefault="00EA3F11" w:rsidP="00230ED8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EA3F11" w:rsidRPr="00C74E26" w14:paraId="5AF144B8" w14:textId="77777777" w:rsidTr="00230ED8">
        <w:tc>
          <w:tcPr>
            <w:tcW w:w="3261" w:type="dxa"/>
            <w:vAlign w:val="center"/>
          </w:tcPr>
          <w:p w14:paraId="70B6524D" w14:textId="77777777" w:rsidR="00EA3F11" w:rsidRPr="00F85126" w:rsidRDefault="00EA3F11" w:rsidP="00230ED8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  <w:r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</w:tc>
        <w:tc>
          <w:tcPr>
            <w:tcW w:w="5811" w:type="dxa"/>
            <w:vAlign w:val="center"/>
          </w:tcPr>
          <w:p w14:paraId="1D803801" w14:textId="77777777" w:rsidR="00EA3F11" w:rsidRPr="00C74E26" w:rsidRDefault="00EA3F11" w:rsidP="00230ED8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2F079218" w14:textId="6306CCF9" w:rsidR="00FB0D24" w:rsidRPr="00C74E26" w:rsidRDefault="00FB0D24" w:rsidP="00EA3F11">
      <w:pPr>
        <w:spacing w:before="280" w:after="140" w:line="290" w:lineRule="auto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lastRenderedPageBreak/>
        <w:t>ORIENTAÇÕES DE PREENCHIMENTO</w:t>
      </w:r>
    </w:p>
    <w:p w14:paraId="7F644084" w14:textId="5ED09DA9" w:rsidR="00AC51E1" w:rsidRPr="00C74E26" w:rsidRDefault="00FB0D24" w:rsidP="00C74E26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1E52CC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C74E26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1E52C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A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 w:rsidRPr="00C74E26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da Resolução </w:t>
      </w:r>
      <w:r w:rsidR="001E52CC">
        <w:rPr>
          <w:rFonts w:ascii="Open Sans" w:hAnsi="Open Sans" w:cs="Open Sans"/>
          <w:sz w:val="20"/>
          <w:szCs w:val="20"/>
          <w:shd w:val="clear" w:color="auto" w:fill="FFFFFF"/>
        </w:rPr>
        <w:t>n.º</w:t>
      </w:r>
      <w:r w:rsidR="00A1394D"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60</w:t>
      </w:r>
      <w:r w:rsidR="001E52CC">
        <w:rPr>
          <w:rFonts w:ascii="Open Sans" w:hAnsi="Open Sans" w:cs="Open Sans"/>
          <w:sz w:val="20"/>
          <w:szCs w:val="20"/>
          <w:shd w:val="clear" w:color="auto" w:fill="FFFFFF"/>
        </w:rPr>
        <w:t xml:space="preserve">, da CVM, de </w:t>
      </w:r>
      <w:r w:rsidR="00682720">
        <w:rPr>
          <w:rFonts w:ascii="Open Sans" w:hAnsi="Open Sans" w:cs="Open Sans"/>
          <w:sz w:val="20"/>
          <w:szCs w:val="20"/>
          <w:shd w:val="clear" w:color="auto" w:fill="FFFFFF"/>
        </w:rPr>
        <w:t>23 de dezembro de 2021</w:t>
      </w:r>
      <w:r w:rsidR="007A245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="007A245C" w:rsidRPr="007A245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Resolução CVM 60</w:t>
      </w:r>
      <w:r w:rsidR="007A245C">
        <w:rPr>
          <w:rFonts w:ascii="Open Sans" w:hAnsi="Open Sans" w:cs="Open Sans"/>
          <w:sz w:val="20"/>
          <w:szCs w:val="20"/>
          <w:shd w:val="clear" w:color="auto" w:fill="FFFFFF"/>
        </w:rPr>
        <w:t>”)</w:t>
      </w:r>
      <w:r w:rsidR="00682720">
        <w:rPr>
          <w:rFonts w:ascii="Open Sans" w:hAnsi="Open Sans" w:cs="Open Sans"/>
          <w:sz w:val="20"/>
          <w:szCs w:val="20"/>
          <w:shd w:val="clear" w:color="auto" w:fill="FFFFFF"/>
        </w:rPr>
        <w:t>,</w:t>
      </w:r>
      <w:r w:rsidR="00343E17"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C74E26">
        <w:rPr>
          <w:rFonts w:ascii="Open Sans" w:hAnsi="Open Sans" w:cs="Open Sans"/>
          <w:sz w:val="20"/>
          <w:szCs w:val="20"/>
        </w:rPr>
        <w:t xml:space="preserve">Resolução nº 81, </w:t>
      </w:r>
      <w:r w:rsidR="00682720">
        <w:rPr>
          <w:rFonts w:ascii="Open Sans" w:hAnsi="Open Sans" w:cs="Open Sans"/>
          <w:sz w:val="20"/>
          <w:szCs w:val="20"/>
        </w:rPr>
        <w:t xml:space="preserve">da CVM, </w:t>
      </w:r>
      <w:r w:rsidR="00343E17" w:rsidRPr="00C74E26">
        <w:rPr>
          <w:rFonts w:ascii="Open Sans" w:hAnsi="Open Sans" w:cs="Open Sans"/>
          <w:sz w:val="20"/>
          <w:szCs w:val="20"/>
        </w:rPr>
        <w:t>de 29 de março de 2022</w:t>
      </w:r>
      <w:r w:rsidR="00B4392B">
        <w:rPr>
          <w:rFonts w:ascii="Open Sans" w:hAnsi="Open Sans" w:cs="Open Sans"/>
          <w:sz w:val="20"/>
          <w:szCs w:val="20"/>
        </w:rPr>
        <w:t xml:space="preserve"> (“</w:t>
      </w:r>
      <w:r w:rsidR="00B4392B" w:rsidRPr="00B4392B">
        <w:rPr>
          <w:rFonts w:ascii="Open Sans" w:hAnsi="Open Sans" w:cs="Open Sans"/>
          <w:sz w:val="20"/>
          <w:szCs w:val="20"/>
          <w:u w:val="single"/>
        </w:rPr>
        <w:t>Resolução CVM 81</w:t>
      </w:r>
      <w:r w:rsidR="00B4392B">
        <w:rPr>
          <w:rFonts w:ascii="Open Sans" w:hAnsi="Open Sans" w:cs="Open Sans"/>
          <w:sz w:val="20"/>
          <w:szCs w:val="20"/>
        </w:rPr>
        <w:t>”)</w:t>
      </w:r>
      <w:r w:rsidR="00682720">
        <w:rPr>
          <w:rFonts w:ascii="Open Sans" w:hAnsi="Open Sans" w:cs="Open Sans"/>
          <w:sz w:val="20"/>
          <w:szCs w:val="20"/>
        </w:rPr>
        <w:t>, conforme aplicável</w:t>
      </w:r>
      <w:r w:rsidR="00A1394D" w:rsidRPr="00C74E26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48093763" w14:textId="76168886" w:rsidR="00FB0D24" w:rsidRPr="00C74E26" w:rsidRDefault="00FB0D24" w:rsidP="00C74E26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25B01C15" w14:textId="77777777" w:rsidR="00FC1DD0" w:rsidRDefault="00FB0D24" w:rsidP="00FC1DD0">
      <w:pPr>
        <w:pStyle w:val="Estilo"/>
        <w:numPr>
          <w:ilvl w:val="0"/>
          <w:numId w:val="6"/>
        </w:numPr>
        <w:spacing w:before="280" w:after="140" w:line="290" w:lineRule="auto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FC1DD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 ou CNPJ,</w:t>
      </w:r>
      <w:r w:rsidR="00FC1DD0">
        <w:rPr>
          <w:rFonts w:ascii="Open Sans" w:hAnsi="Open Sans" w:cs="Open Sans"/>
          <w:sz w:val="20"/>
          <w:szCs w:val="20"/>
          <w:shd w:val="clear" w:color="auto" w:fill="FFFFFF"/>
        </w:rPr>
        <w:t xml:space="preserve"> conforme aplicável,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bem como indicação de endereço eletrônico e telefone para eventuais contatos deverão ser preenchidos; </w:t>
      </w:r>
    </w:p>
    <w:p w14:paraId="0C061022" w14:textId="77777777" w:rsidR="00FC1DD0" w:rsidRDefault="00FB0D24" w:rsidP="00FC1DD0">
      <w:pPr>
        <w:pStyle w:val="Estilo"/>
        <w:numPr>
          <w:ilvl w:val="0"/>
          <w:numId w:val="6"/>
        </w:numPr>
        <w:spacing w:before="280" w:after="140" w:line="290" w:lineRule="auto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FC1DD0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8C93C0B" w14:textId="77777777" w:rsidR="00FC1DD0" w:rsidRDefault="00FB0D24" w:rsidP="00FC1DD0">
      <w:pPr>
        <w:pStyle w:val="Estilo"/>
        <w:numPr>
          <w:ilvl w:val="0"/>
          <w:numId w:val="6"/>
        </w:numPr>
        <w:spacing w:before="280" w:after="140" w:line="290" w:lineRule="auto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FC1DD0">
        <w:rPr>
          <w:rFonts w:ascii="Open Sans" w:hAnsi="Open Sans" w:cs="Open Sans"/>
          <w:sz w:val="20"/>
          <w:szCs w:val="20"/>
          <w:shd w:val="clear" w:color="auto" w:fill="FFFFFF"/>
        </w:rPr>
        <w:t>ao final, o Titular d</w:t>
      </w:r>
      <w:r w:rsidR="00FC1DD0">
        <w:rPr>
          <w:rFonts w:ascii="Open Sans" w:hAnsi="Open Sans" w:cs="Open Sans"/>
          <w:sz w:val="20"/>
          <w:szCs w:val="20"/>
          <w:shd w:val="clear" w:color="auto" w:fill="FFFFFF"/>
        </w:rPr>
        <w:t>os</w:t>
      </w:r>
      <w:r w:rsidRPr="00FC1DD0">
        <w:rPr>
          <w:rFonts w:ascii="Open Sans" w:hAnsi="Open Sans" w:cs="Open Sans"/>
          <w:sz w:val="20"/>
          <w:szCs w:val="20"/>
          <w:shd w:val="clear" w:color="auto" w:fill="FFFFFF"/>
        </w:rPr>
        <w:t xml:space="preserve"> CR</w:t>
      </w:r>
      <w:r w:rsidR="00FC1DD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FC1DD0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FC1DD0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FC1DD0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FC1DD0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FC1DD0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D56FC01" w14:textId="2C6EFC13" w:rsidR="00FB0D24" w:rsidRDefault="00FB0D24" w:rsidP="00FC1DD0">
      <w:pPr>
        <w:pStyle w:val="Estilo"/>
        <w:numPr>
          <w:ilvl w:val="0"/>
          <w:numId w:val="6"/>
        </w:numPr>
        <w:spacing w:before="280" w:after="140" w:line="290" w:lineRule="auto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FC1DD0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BBE6908" w14:textId="77777777" w:rsidR="002F7E00" w:rsidRDefault="000B00F9" w:rsidP="000B00F9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0B00F9">
        <w:rPr>
          <w:rFonts w:ascii="Open Sans" w:hAnsi="Open Sans" w:cs="Open Sans"/>
          <w:sz w:val="20"/>
          <w:szCs w:val="20"/>
          <w:shd w:val="clear" w:color="auto" w:fill="FFFFFF"/>
        </w:rPr>
        <w:t>Os Titulares dos CR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0B00F9">
        <w:rPr>
          <w:rFonts w:ascii="Open Sans" w:hAnsi="Open Sans" w:cs="Open Sans"/>
          <w:sz w:val="20"/>
          <w:szCs w:val="20"/>
          <w:shd w:val="clear" w:color="auto" w:fill="FFFFFF"/>
        </w:rPr>
        <w:t xml:space="preserve"> t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ê</w:t>
      </w:r>
      <w:r w:rsidRPr="000B00F9">
        <w:rPr>
          <w:rFonts w:ascii="Open Sans" w:hAnsi="Open Sans" w:cs="Open Sans"/>
          <w:sz w:val="20"/>
          <w:szCs w:val="20"/>
          <w:shd w:val="clear" w:color="auto" w:fill="FFFFFF"/>
        </w:rPr>
        <w:t>m ciência de que as deliberações a serem tomadas em Assembleia são aprovadas respeitando os quóruns específicos estabelecidos no Termo de Securitização e que, ao se manifestar por meio da presente Instrução de Voto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, </w:t>
      </w:r>
      <w:r w:rsidRPr="000B00F9">
        <w:rPr>
          <w:rFonts w:ascii="Open Sans" w:hAnsi="Open Sans" w:cs="Open Sans"/>
          <w:sz w:val="20"/>
          <w:szCs w:val="20"/>
          <w:shd w:val="clear" w:color="auto" w:fill="FFFFFF"/>
        </w:rPr>
        <w:t>ainda que sua manifestação tenha sido apenas de aprovar, abster-se ou reprovar 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s matérias</w:t>
      </w:r>
      <w:r w:rsidRPr="000B00F9">
        <w:rPr>
          <w:rFonts w:ascii="Open Sans" w:hAnsi="Open Sans" w:cs="Open Sans"/>
          <w:sz w:val="20"/>
          <w:szCs w:val="20"/>
          <w:shd w:val="clear" w:color="auto" w:fill="FFFFFF"/>
        </w:rPr>
        <w:t xml:space="preserve"> Ordem do Dia, sem quaisquer ressalvas, poderá eventualmente ser obrigado a acatar eventuais condicionantes e/ou ressalvas a respeito das deliberações, que sejam discutidas e aprovadas pelos demais investidores no momento da Assembleia, conforme quórum aplicável. </w:t>
      </w:r>
    </w:p>
    <w:p w14:paraId="1C9404FE" w14:textId="410F8718" w:rsidR="000B00F9" w:rsidRPr="00FC1DD0" w:rsidRDefault="000B00F9" w:rsidP="000B00F9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0B00F9">
        <w:rPr>
          <w:rFonts w:ascii="Open Sans" w:hAnsi="Open Sans" w:cs="Open Sans"/>
          <w:sz w:val="20"/>
          <w:szCs w:val="20"/>
          <w:shd w:val="clear" w:color="auto" w:fill="FFFFFF"/>
        </w:rPr>
        <w:t>Ainda, os Titulares dos CR</w:t>
      </w:r>
      <w:r w:rsidR="002F7E0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0B00F9">
        <w:rPr>
          <w:rFonts w:ascii="Open Sans" w:hAnsi="Open Sans" w:cs="Open Sans"/>
          <w:sz w:val="20"/>
          <w:szCs w:val="20"/>
          <w:shd w:val="clear" w:color="auto" w:fill="FFFFFF"/>
        </w:rPr>
        <w:t xml:space="preserve"> declaram, expressamente, que não há qualquer hipótese que poderia ser caracterizada como conflito de interesse em relação às matérias da Ordem do Dia e demais partes da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O</w:t>
      </w:r>
      <w:r w:rsidRPr="000B00F9">
        <w:rPr>
          <w:rFonts w:ascii="Open Sans" w:hAnsi="Open Sans" w:cs="Open Sans"/>
          <w:sz w:val="20"/>
          <w:szCs w:val="20"/>
          <w:shd w:val="clear" w:color="auto" w:fill="FFFFFF"/>
        </w:rPr>
        <w:t xml:space="preserve">peração, bem como entre partes relacionadas, conforme definição prevista na Resolução </w:t>
      </w:r>
      <w:r w:rsidR="007A245C">
        <w:rPr>
          <w:rFonts w:ascii="Open Sans" w:hAnsi="Open Sans" w:cs="Open Sans"/>
          <w:sz w:val="20"/>
          <w:szCs w:val="20"/>
          <w:shd w:val="clear" w:color="auto" w:fill="FFFFFF"/>
        </w:rPr>
        <w:t xml:space="preserve">n.º </w:t>
      </w:r>
      <w:r w:rsidRPr="000B00F9">
        <w:rPr>
          <w:rFonts w:ascii="Open Sans" w:hAnsi="Open Sans" w:cs="Open Sans"/>
          <w:sz w:val="20"/>
          <w:szCs w:val="20"/>
          <w:shd w:val="clear" w:color="auto" w:fill="FFFFFF"/>
        </w:rPr>
        <w:t>94</w:t>
      </w:r>
      <w:r w:rsidR="007A245C">
        <w:rPr>
          <w:rFonts w:ascii="Open Sans" w:hAnsi="Open Sans" w:cs="Open Sans"/>
          <w:sz w:val="20"/>
          <w:szCs w:val="20"/>
          <w:shd w:val="clear" w:color="auto" w:fill="FFFFFF"/>
        </w:rPr>
        <w:t>, da CVM, de 20 de maio de 2022</w:t>
      </w:r>
      <w:r w:rsidRPr="000B00F9">
        <w:rPr>
          <w:rFonts w:ascii="Open Sans" w:hAnsi="Open Sans" w:cs="Open Sans"/>
          <w:sz w:val="20"/>
          <w:szCs w:val="20"/>
          <w:shd w:val="clear" w:color="auto" w:fill="FFFFFF"/>
        </w:rPr>
        <w:t>, bem como no art</w:t>
      </w:r>
      <w:r w:rsidR="007A245C">
        <w:rPr>
          <w:rFonts w:ascii="Open Sans" w:hAnsi="Open Sans" w:cs="Open Sans"/>
          <w:sz w:val="20"/>
          <w:szCs w:val="20"/>
          <w:shd w:val="clear" w:color="auto" w:fill="FFFFFF"/>
        </w:rPr>
        <w:t>igo</w:t>
      </w:r>
      <w:r w:rsidRPr="000B00F9">
        <w:rPr>
          <w:rFonts w:ascii="Open Sans" w:hAnsi="Open Sans" w:cs="Open Sans"/>
          <w:sz w:val="20"/>
          <w:szCs w:val="20"/>
          <w:shd w:val="clear" w:color="auto" w:fill="FFFFFF"/>
        </w:rPr>
        <w:t xml:space="preserve"> 32 da Resolução CVM 60.</w:t>
      </w:r>
    </w:p>
    <w:p w14:paraId="4A61B5AA" w14:textId="5C492C7C" w:rsidR="00FB0D24" w:rsidRPr="00FC1DD0" w:rsidRDefault="00FB0D24" w:rsidP="0003354C">
      <w:pPr>
        <w:pStyle w:val="Estilo"/>
        <w:spacing w:before="280" w:after="140" w:line="290" w:lineRule="auto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3F3266CD" w14:textId="6A7AA3F1" w:rsidR="00FB0D24" w:rsidRPr="00C74E26" w:rsidRDefault="00FB0D24" w:rsidP="00C74E26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>O Titular d</w:t>
      </w:r>
      <w:r w:rsidR="00FC1DD0">
        <w:rPr>
          <w:rFonts w:ascii="Open Sans" w:hAnsi="Open Sans" w:cs="Open Sans"/>
          <w:sz w:val="20"/>
          <w:szCs w:val="20"/>
          <w:shd w:val="clear" w:color="auto" w:fill="FFFFFF"/>
        </w:rPr>
        <w:t>os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CR</w:t>
      </w:r>
      <w:r w:rsidR="00FC1DD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 w:rsidRPr="00C74E26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222B3988" w14:textId="77777777" w:rsidR="00217F3C" w:rsidRDefault="00FB0D24" w:rsidP="00217F3C">
      <w:pPr>
        <w:pStyle w:val="Estilo"/>
        <w:numPr>
          <w:ilvl w:val="0"/>
          <w:numId w:val="7"/>
        </w:numPr>
        <w:spacing w:before="280" w:after="140" w:line="290" w:lineRule="auto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por meio de plataforma para assinaturas eletrônicas, com ou sem certificados digitais emitidos pela ICP-Brasil</w:t>
      </w:r>
      <w:r w:rsidR="00985191">
        <w:rPr>
          <w:rFonts w:ascii="Open Sans" w:hAnsi="Open Sans" w:cs="Open Sans"/>
          <w:sz w:val="20"/>
          <w:szCs w:val="20"/>
          <w:shd w:val="clear" w:color="auto" w:fill="FFFFFF"/>
        </w:rPr>
        <w:t xml:space="preserve"> e n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ão será exigido o reconhecimento de firma de assinaturas, </w:t>
      </w:r>
      <w:proofErr w:type="spellStart"/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</w:t>
      </w:r>
      <w:r w:rsidR="00985191">
        <w:rPr>
          <w:rFonts w:ascii="Open Sans" w:hAnsi="Open Sans" w:cs="Open Sans"/>
          <w:sz w:val="20"/>
          <w:szCs w:val="20"/>
          <w:shd w:val="clear" w:color="auto" w:fill="FFFFFF"/>
        </w:rPr>
        <w:t>;</w:t>
      </w:r>
    </w:p>
    <w:p w14:paraId="3B584149" w14:textId="641C175F" w:rsidR="00217F3C" w:rsidRDefault="00FB0D24" w:rsidP="00217F3C">
      <w:pPr>
        <w:pStyle w:val="Estilo"/>
        <w:numPr>
          <w:ilvl w:val="0"/>
          <w:numId w:val="7"/>
        </w:numPr>
        <w:spacing w:before="280" w:after="140" w:line="290" w:lineRule="auto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217F3C">
        <w:rPr>
          <w:rFonts w:ascii="Open Sans" w:hAnsi="Open Sans" w:cs="Open Sans"/>
          <w:sz w:val="20"/>
          <w:szCs w:val="20"/>
          <w:shd w:val="clear" w:color="auto" w:fill="FFFFFF"/>
        </w:rPr>
        <w:t>os seguintes documentos deverão ser enviados em conjunto com a Instrução de Voto</w:t>
      </w:r>
      <w:r w:rsidR="003717FA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="003717FA" w:rsidRPr="003717FA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Documentos de Representação</w:t>
      </w:r>
      <w:r w:rsidR="003717FA">
        <w:rPr>
          <w:rFonts w:ascii="Open Sans" w:hAnsi="Open Sans" w:cs="Open Sans"/>
          <w:sz w:val="20"/>
          <w:szCs w:val="20"/>
          <w:shd w:val="clear" w:color="auto" w:fill="FFFFFF"/>
        </w:rPr>
        <w:t>”)</w:t>
      </w:r>
      <w:r w:rsidRPr="00217F3C">
        <w:rPr>
          <w:rFonts w:ascii="Open Sans" w:hAnsi="Open Sans" w:cs="Open Sans"/>
          <w:sz w:val="20"/>
          <w:szCs w:val="20"/>
          <w:shd w:val="clear" w:color="auto" w:fill="FFFFFF"/>
        </w:rPr>
        <w:t xml:space="preserve">: </w:t>
      </w:r>
    </w:p>
    <w:p w14:paraId="08A3FF49" w14:textId="16501D60" w:rsidR="0016198C" w:rsidRDefault="0016198C" w:rsidP="002C67D4">
      <w:pPr>
        <w:pStyle w:val="Estilo"/>
        <w:numPr>
          <w:ilvl w:val="0"/>
          <w:numId w:val="17"/>
        </w:numPr>
        <w:spacing w:before="280" w:after="140" w:line="290" w:lineRule="auto"/>
        <w:ind w:left="1418" w:hanging="698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433096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quando pessoa física</w:t>
      </w:r>
      <w:r w:rsidRPr="0016198C">
        <w:rPr>
          <w:rFonts w:ascii="Open Sans" w:hAnsi="Open Sans" w:cs="Open Sans"/>
          <w:sz w:val="20"/>
          <w:szCs w:val="20"/>
          <w:shd w:val="clear" w:color="auto" w:fill="FFFFFF"/>
        </w:rPr>
        <w:t xml:space="preserve">: documento de identidade válido com foto (Carteira de Identidade Registro Geral, Carteira Nacional de Habilitação, passaporte, carteiras de identidade expedidas pelos conselhos profissionais e carteiras funcionais expedidas pelos órgãos da </w:t>
      </w:r>
      <w:r w:rsidR="00433096" w:rsidRPr="0016198C">
        <w:rPr>
          <w:rFonts w:ascii="Open Sans" w:hAnsi="Open Sans" w:cs="Open Sans"/>
          <w:sz w:val="20"/>
          <w:szCs w:val="20"/>
          <w:shd w:val="clear" w:color="auto" w:fill="FFFFFF"/>
        </w:rPr>
        <w:t>administração pública</w:t>
      </w:r>
      <w:r w:rsidRPr="0016198C">
        <w:rPr>
          <w:rFonts w:ascii="Open Sans" w:hAnsi="Open Sans" w:cs="Open Sans"/>
          <w:sz w:val="20"/>
          <w:szCs w:val="20"/>
          <w:shd w:val="clear" w:color="auto" w:fill="FFFFFF"/>
        </w:rPr>
        <w:t>, desde que contenham foto de seu titular)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;</w:t>
      </w:r>
    </w:p>
    <w:p w14:paraId="14EB35FB" w14:textId="09570555" w:rsidR="002C67D4" w:rsidRDefault="00FB0D24" w:rsidP="002C67D4">
      <w:pPr>
        <w:pStyle w:val="Estilo"/>
        <w:numPr>
          <w:ilvl w:val="0"/>
          <w:numId w:val="17"/>
        </w:numPr>
        <w:spacing w:before="280" w:after="140" w:line="290" w:lineRule="auto"/>
        <w:ind w:left="1418" w:hanging="698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433096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quando pessoa jurídica</w:t>
      </w:r>
      <w:r w:rsidR="00217F3C">
        <w:rPr>
          <w:rFonts w:ascii="Open Sans" w:hAnsi="Open Sans" w:cs="Open Sans"/>
          <w:sz w:val="20"/>
          <w:szCs w:val="20"/>
          <w:shd w:val="clear" w:color="auto" w:fill="FFFFFF"/>
        </w:rPr>
        <w:t>:</w:t>
      </w:r>
      <w:r w:rsidRPr="00217F3C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2C67D4">
        <w:rPr>
          <w:rFonts w:ascii="Open Sans" w:hAnsi="Open Sans" w:cs="Open Sans"/>
          <w:sz w:val="20"/>
          <w:szCs w:val="20"/>
          <w:shd w:val="clear" w:color="auto" w:fill="FFFFFF"/>
        </w:rPr>
        <w:t>(</w:t>
      </w:r>
      <w:r w:rsidR="00433096">
        <w:rPr>
          <w:rFonts w:ascii="Open Sans" w:hAnsi="Open Sans" w:cs="Open Sans"/>
          <w:sz w:val="20"/>
          <w:szCs w:val="20"/>
          <w:shd w:val="clear" w:color="auto" w:fill="FFFFFF"/>
        </w:rPr>
        <w:t>1</w:t>
      </w:r>
      <w:r w:rsidR="002C67D4">
        <w:rPr>
          <w:rFonts w:ascii="Open Sans" w:hAnsi="Open Sans" w:cs="Open Sans"/>
          <w:sz w:val="20"/>
          <w:szCs w:val="20"/>
          <w:shd w:val="clear" w:color="auto" w:fill="FFFFFF"/>
        </w:rPr>
        <w:t xml:space="preserve">) versão vigente do </w:t>
      </w:r>
      <w:r w:rsidRPr="00217F3C">
        <w:rPr>
          <w:rFonts w:ascii="Open Sans" w:hAnsi="Open Sans" w:cs="Open Sans"/>
          <w:sz w:val="20"/>
          <w:szCs w:val="20"/>
          <w:shd w:val="clear" w:color="auto" w:fill="FFFFFF"/>
        </w:rPr>
        <w:t>estatuto ou contrato social consolidado, devidamente registrado na junta comercial competente; (</w:t>
      </w:r>
      <w:r w:rsidR="00433096">
        <w:rPr>
          <w:rFonts w:ascii="Open Sans" w:hAnsi="Open Sans" w:cs="Open Sans"/>
          <w:sz w:val="20"/>
          <w:szCs w:val="20"/>
          <w:shd w:val="clear" w:color="auto" w:fill="FFFFFF"/>
        </w:rPr>
        <w:t>2</w:t>
      </w:r>
      <w:r w:rsidRPr="00217F3C">
        <w:rPr>
          <w:rFonts w:ascii="Open Sans" w:hAnsi="Open Sans" w:cs="Open Sans"/>
          <w:sz w:val="20"/>
          <w:szCs w:val="20"/>
          <w:shd w:val="clear" w:color="auto" w:fill="FFFFFF"/>
        </w:rPr>
        <w:t>) documentos societários que comprovem a representação legal do Titular de CR</w:t>
      </w:r>
      <w:r w:rsidR="002C67D4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217F3C">
        <w:rPr>
          <w:rFonts w:ascii="Open Sans" w:hAnsi="Open Sans" w:cs="Open Sans"/>
          <w:sz w:val="20"/>
          <w:szCs w:val="20"/>
          <w:shd w:val="clear" w:color="auto" w:fill="FFFFFF"/>
        </w:rPr>
        <w:t>; e (</w:t>
      </w:r>
      <w:r w:rsidR="00433096">
        <w:rPr>
          <w:rFonts w:ascii="Open Sans" w:hAnsi="Open Sans" w:cs="Open Sans"/>
          <w:sz w:val="20"/>
          <w:szCs w:val="20"/>
          <w:shd w:val="clear" w:color="auto" w:fill="FFFFFF"/>
        </w:rPr>
        <w:t>3</w:t>
      </w:r>
      <w:r w:rsidRPr="00217F3C">
        <w:rPr>
          <w:rFonts w:ascii="Open Sans" w:hAnsi="Open Sans" w:cs="Open Sans"/>
          <w:sz w:val="20"/>
          <w:szCs w:val="20"/>
          <w:shd w:val="clear" w:color="auto" w:fill="FFFFFF"/>
        </w:rPr>
        <w:t>) documento de identidade válido com foto do representante legal; e</w:t>
      </w:r>
    </w:p>
    <w:p w14:paraId="42989113" w14:textId="4B26B3F5" w:rsidR="00433096" w:rsidRDefault="00FB0D24" w:rsidP="00433096">
      <w:pPr>
        <w:pStyle w:val="Estilo"/>
        <w:numPr>
          <w:ilvl w:val="0"/>
          <w:numId w:val="17"/>
        </w:numPr>
        <w:spacing w:before="280" w:after="140" w:line="290" w:lineRule="auto"/>
        <w:ind w:left="1418" w:hanging="698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8E013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quando fundo de investimento</w:t>
      </w:r>
      <w:r w:rsidR="002C67D4">
        <w:rPr>
          <w:rFonts w:ascii="Open Sans" w:hAnsi="Open Sans" w:cs="Open Sans"/>
          <w:sz w:val="20"/>
          <w:szCs w:val="20"/>
          <w:shd w:val="clear" w:color="auto" w:fill="FFFFFF"/>
        </w:rPr>
        <w:t>:</w:t>
      </w:r>
      <w:r w:rsidRPr="002C67D4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33096">
        <w:rPr>
          <w:rFonts w:ascii="Open Sans" w:hAnsi="Open Sans" w:cs="Open Sans"/>
          <w:sz w:val="20"/>
          <w:szCs w:val="20"/>
          <w:shd w:val="clear" w:color="auto" w:fill="FFFFFF"/>
        </w:rPr>
        <w:t>(1</w:t>
      </w:r>
      <w:r w:rsidRPr="002C67D4">
        <w:rPr>
          <w:rFonts w:ascii="Open Sans" w:hAnsi="Open Sans" w:cs="Open Sans"/>
          <w:sz w:val="20"/>
          <w:szCs w:val="20"/>
          <w:shd w:val="clear" w:color="auto" w:fill="FFFFFF"/>
        </w:rPr>
        <w:t xml:space="preserve">) </w:t>
      </w:r>
      <w:r w:rsidR="002C67D4">
        <w:rPr>
          <w:rFonts w:ascii="Open Sans" w:hAnsi="Open Sans" w:cs="Open Sans"/>
          <w:sz w:val="20"/>
          <w:szCs w:val="20"/>
          <w:shd w:val="clear" w:color="auto" w:fill="FFFFFF"/>
        </w:rPr>
        <w:t xml:space="preserve">versão vigente consolidada do </w:t>
      </w:r>
      <w:r w:rsidRPr="002C67D4">
        <w:rPr>
          <w:rFonts w:ascii="Open Sans" w:hAnsi="Open Sans" w:cs="Open Sans"/>
          <w:sz w:val="20"/>
          <w:szCs w:val="20"/>
          <w:shd w:val="clear" w:color="auto" w:fill="FFFFFF"/>
        </w:rPr>
        <w:t>regulamento do fundo; (</w:t>
      </w:r>
      <w:r w:rsidR="00433096">
        <w:rPr>
          <w:rFonts w:ascii="Open Sans" w:hAnsi="Open Sans" w:cs="Open Sans"/>
          <w:sz w:val="20"/>
          <w:szCs w:val="20"/>
          <w:shd w:val="clear" w:color="auto" w:fill="FFFFFF"/>
        </w:rPr>
        <w:t>2</w:t>
      </w:r>
      <w:r w:rsidRPr="002C67D4">
        <w:rPr>
          <w:rFonts w:ascii="Open Sans" w:hAnsi="Open Sans" w:cs="Open Sans"/>
          <w:sz w:val="20"/>
          <w:szCs w:val="20"/>
          <w:shd w:val="clear" w:color="auto" w:fill="FFFFFF"/>
        </w:rPr>
        <w:t>) estatuto ou contrato social do seu administrador ou gestor, conforme o caso, observada a política de voto do fundo</w:t>
      </w:r>
      <w:r w:rsidR="002C67D4">
        <w:rPr>
          <w:rFonts w:ascii="Open Sans" w:hAnsi="Open Sans" w:cs="Open Sans"/>
          <w:sz w:val="20"/>
          <w:szCs w:val="20"/>
          <w:shd w:val="clear" w:color="auto" w:fill="FFFFFF"/>
        </w:rPr>
        <w:t>; (</w:t>
      </w:r>
      <w:r w:rsidR="00433096">
        <w:rPr>
          <w:rFonts w:ascii="Open Sans" w:hAnsi="Open Sans" w:cs="Open Sans"/>
          <w:sz w:val="20"/>
          <w:szCs w:val="20"/>
          <w:shd w:val="clear" w:color="auto" w:fill="FFFFFF"/>
        </w:rPr>
        <w:t>3</w:t>
      </w:r>
      <w:r w:rsidR="002C67D4">
        <w:rPr>
          <w:rFonts w:ascii="Open Sans" w:hAnsi="Open Sans" w:cs="Open Sans"/>
          <w:sz w:val="20"/>
          <w:szCs w:val="20"/>
          <w:shd w:val="clear" w:color="auto" w:fill="FFFFFF"/>
        </w:rPr>
        <w:t>)</w:t>
      </w:r>
      <w:r w:rsidRPr="002C67D4">
        <w:rPr>
          <w:rFonts w:ascii="Open Sans" w:hAnsi="Open Sans" w:cs="Open Sans"/>
          <w:sz w:val="20"/>
          <w:szCs w:val="20"/>
          <w:shd w:val="clear" w:color="auto" w:fill="FFFFFF"/>
        </w:rPr>
        <w:t xml:space="preserve"> documentos societários que comprovem os poderes de representação </w:t>
      </w:r>
      <w:r w:rsidR="002C67D4">
        <w:rPr>
          <w:rFonts w:ascii="Open Sans" w:hAnsi="Open Sans" w:cs="Open Sans"/>
          <w:sz w:val="20"/>
          <w:szCs w:val="20"/>
          <w:shd w:val="clear" w:color="auto" w:fill="FFFFFF"/>
        </w:rPr>
        <w:t>do administrador ou gestor do fundo</w:t>
      </w:r>
      <w:r w:rsidRPr="002C67D4">
        <w:rPr>
          <w:rFonts w:ascii="Open Sans" w:hAnsi="Open Sans" w:cs="Open Sans"/>
          <w:sz w:val="20"/>
          <w:szCs w:val="20"/>
          <w:shd w:val="clear" w:color="auto" w:fill="FFFFFF"/>
        </w:rPr>
        <w:t>; e (</w:t>
      </w:r>
      <w:r w:rsidR="00433096">
        <w:rPr>
          <w:rFonts w:ascii="Open Sans" w:hAnsi="Open Sans" w:cs="Open Sans"/>
          <w:sz w:val="20"/>
          <w:szCs w:val="20"/>
          <w:shd w:val="clear" w:color="auto" w:fill="FFFFFF"/>
        </w:rPr>
        <w:t>4</w:t>
      </w:r>
      <w:r w:rsidRPr="002C67D4">
        <w:rPr>
          <w:rFonts w:ascii="Open Sans" w:hAnsi="Open Sans" w:cs="Open Sans"/>
          <w:sz w:val="20"/>
          <w:szCs w:val="20"/>
          <w:shd w:val="clear" w:color="auto" w:fill="FFFFFF"/>
        </w:rPr>
        <w:t>) documento de identidade válido com foto do representante legal</w:t>
      </w:r>
      <w:r w:rsidR="0016198C">
        <w:rPr>
          <w:rFonts w:ascii="Open Sans" w:hAnsi="Open Sans" w:cs="Open Sans"/>
          <w:sz w:val="20"/>
          <w:szCs w:val="20"/>
          <w:shd w:val="clear" w:color="auto" w:fill="FFFFFF"/>
        </w:rPr>
        <w:t>;</w:t>
      </w:r>
    </w:p>
    <w:p w14:paraId="405271D9" w14:textId="77777777" w:rsidR="00560AC3" w:rsidRDefault="0016198C" w:rsidP="00560AC3">
      <w:pPr>
        <w:pStyle w:val="Estilo"/>
        <w:numPr>
          <w:ilvl w:val="0"/>
          <w:numId w:val="17"/>
        </w:numPr>
        <w:spacing w:before="280" w:after="140" w:line="290" w:lineRule="auto"/>
        <w:ind w:left="1418" w:hanging="698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8E013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procuradores</w:t>
      </w:r>
      <w:r w:rsidR="00433096">
        <w:rPr>
          <w:rFonts w:ascii="Open Sans" w:hAnsi="Open Sans" w:cs="Open Sans"/>
          <w:sz w:val="20"/>
          <w:szCs w:val="20"/>
          <w:shd w:val="clear" w:color="auto" w:fill="FFFFFF"/>
        </w:rPr>
        <w:t xml:space="preserve">: </w:t>
      </w:r>
      <w:r w:rsidRPr="00433096">
        <w:rPr>
          <w:rFonts w:ascii="Open Sans" w:hAnsi="Open Sans" w:cs="Open Sans"/>
          <w:sz w:val="20"/>
          <w:szCs w:val="20"/>
          <w:shd w:val="clear" w:color="auto" w:fill="FFFFFF"/>
        </w:rPr>
        <w:t xml:space="preserve">caso </w:t>
      </w:r>
      <w:r w:rsidR="008E013C">
        <w:rPr>
          <w:rFonts w:ascii="Open Sans" w:hAnsi="Open Sans" w:cs="Open Sans"/>
          <w:sz w:val="20"/>
          <w:szCs w:val="20"/>
          <w:shd w:val="clear" w:color="auto" w:fill="FFFFFF"/>
        </w:rPr>
        <w:t xml:space="preserve">os </w:t>
      </w:r>
      <w:r w:rsidRPr="00433096">
        <w:rPr>
          <w:rFonts w:ascii="Open Sans" w:hAnsi="Open Sans" w:cs="Open Sans"/>
          <w:sz w:val="20"/>
          <w:szCs w:val="20"/>
          <w:shd w:val="clear" w:color="auto" w:fill="FFFFFF"/>
        </w:rPr>
        <w:t>Titulares dos CR</w:t>
      </w:r>
      <w:r w:rsidR="00433096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433096">
        <w:rPr>
          <w:rFonts w:ascii="Open Sans" w:hAnsi="Open Sans" w:cs="Open Sans"/>
          <w:sz w:val="20"/>
          <w:szCs w:val="20"/>
          <w:shd w:val="clear" w:color="auto" w:fill="FFFFFF"/>
        </w:rPr>
        <w:t xml:space="preserve"> venham a ser representado</w:t>
      </w:r>
      <w:r w:rsidR="008E013C">
        <w:rPr>
          <w:rFonts w:ascii="Open Sans" w:hAnsi="Open Sans" w:cs="Open Sans"/>
          <w:sz w:val="20"/>
          <w:szCs w:val="20"/>
          <w:shd w:val="clear" w:color="auto" w:fill="FFFFFF"/>
        </w:rPr>
        <w:t>s</w:t>
      </w:r>
      <w:r w:rsidRPr="00433096">
        <w:rPr>
          <w:rFonts w:ascii="Open Sans" w:hAnsi="Open Sans" w:cs="Open Sans"/>
          <w:sz w:val="20"/>
          <w:szCs w:val="20"/>
          <w:shd w:val="clear" w:color="auto" w:fill="FFFFFF"/>
        </w:rPr>
        <w:t xml:space="preserve"> por procurador</w:t>
      </w:r>
      <w:r w:rsidR="008E013C">
        <w:rPr>
          <w:rFonts w:ascii="Open Sans" w:hAnsi="Open Sans" w:cs="Open Sans"/>
          <w:sz w:val="20"/>
          <w:szCs w:val="20"/>
          <w:shd w:val="clear" w:color="auto" w:fill="FFFFFF"/>
        </w:rPr>
        <w:t>es</w:t>
      </w:r>
      <w:r w:rsidRPr="00433096">
        <w:rPr>
          <w:rFonts w:ascii="Open Sans" w:hAnsi="Open Sans" w:cs="Open Sans"/>
          <w:sz w:val="20"/>
          <w:szCs w:val="20"/>
          <w:shd w:val="clear" w:color="auto" w:fill="FFFFFF"/>
        </w:rPr>
        <w:t xml:space="preserve">, além dos respectivos documentos indicados anteriormente, deverá encaminhar procuração com poderes específicos para sua representação na </w:t>
      </w:r>
      <w:r w:rsidR="008E013C">
        <w:rPr>
          <w:rFonts w:ascii="Open Sans" w:hAnsi="Open Sans" w:cs="Open Sans"/>
          <w:sz w:val="20"/>
          <w:szCs w:val="20"/>
          <w:shd w:val="clear" w:color="auto" w:fill="FFFFFF"/>
        </w:rPr>
        <w:t>Assembleia</w:t>
      </w:r>
      <w:r w:rsidRPr="00433096">
        <w:rPr>
          <w:rFonts w:ascii="Open Sans" w:hAnsi="Open Sans" w:cs="Open Sans"/>
          <w:sz w:val="20"/>
          <w:szCs w:val="20"/>
          <w:shd w:val="clear" w:color="auto" w:fill="FFFFFF"/>
        </w:rPr>
        <w:t>, com reconhecimento de firma se por instrumento particular</w:t>
      </w:r>
      <w:r w:rsidR="00560AC3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14CD9441" w14:textId="61731189" w:rsidR="0016198C" w:rsidRPr="00560AC3" w:rsidRDefault="00560AC3" w:rsidP="003717FA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>P</w:t>
      </w:r>
      <w:r w:rsidR="0016198C" w:rsidRPr="00433096">
        <w:rPr>
          <w:rFonts w:ascii="Open Sans" w:hAnsi="Open Sans" w:cs="Open Sans"/>
          <w:sz w:val="20"/>
          <w:szCs w:val="20"/>
          <w:shd w:val="clear" w:color="auto" w:fill="FFFFFF"/>
        </w:rPr>
        <w:t xml:space="preserve">ara o caso de envio de procuração acompanhada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Instrução de Voto</w:t>
      </w:r>
      <w:r w:rsidR="0016198C" w:rsidRPr="00433096">
        <w:rPr>
          <w:rFonts w:ascii="Open Sans" w:hAnsi="Open Sans" w:cs="Open Sans"/>
          <w:sz w:val="20"/>
          <w:szCs w:val="20"/>
          <w:shd w:val="clear" w:color="auto" w:fill="FFFFFF"/>
        </w:rPr>
        <w:t xml:space="preserve">, será de responsabilidade exclusiva do outorgado a manifestação de voto de acordo com as instruções do outorgante, não havendo margem para a Emissora ou o Agente Fiduciário interpretar o sentido do voto em caso de divergência entre a redação da Ordem do Dia (conforme definido no Edital de Convocação) e da manifestação de voto. </w:t>
      </w:r>
    </w:p>
    <w:p w14:paraId="1B9EE475" w14:textId="5E6F74AF" w:rsidR="00335153" w:rsidRPr="00335153" w:rsidRDefault="00335153" w:rsidP="00335153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>Conforme previsto no Edital de Convocação, o envio da Instrução de Voto</w:t>
      </w:r>
      <w:r w:rsidR="003717FA">
        <w:rPr>
          <w:rFonts w:ascii="Open Sans" w:hAnsi="Open Sans" w:cs="Open Sans"/>
          <w:sz w:val="20"/>
          <w:szCs w:val="20"/>
          <w:shd w:val="clear" w:color="auto" w:fill="FFFFFF"/>
        </w:rPr>
        <w:t xml:space="preserve"> e dos Documentos de Representação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 deverá ser realizado</w:t>
      </w:r>
      <w:r w:rsidR="003717FA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em até </w:t>
      </w:r>
      <w:r w:rsidR="00CF3235" w:rsidRPr="00CF3235">
        <w:rPr>
          <w:rFonts w:ascii="Open Sans" w:hAnsi="Open Sans" w:cs="Open Sans"/>
          <w:sz w:val="20"/>
          <w:szCs w:val="20"/>
          <w:shd w:val="clear" w:color="auto" w:fill="FFFFFF"/>
        </w:rPr>
        <w:t>48 (quarenta e oito) horas da realização da Assembleia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070D62" w14:textId="77777777" w:rsidR="00424389" w:rsidRDefault="00335153" w:rsidP="00335153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>Para participação por meio de procurador, a outorga de poderes de representação deverá ter sido realizada há menos de 1 (um) ano.</w:t>
      </w:r>
    </w:p>
    <w:p w14:paraId="2BD0B5D5" w14:textId="73832843" w:rsidR="00335153" w:rsidRPr="00335153" w:rsidRDefault="00335153" w:rsidP="00335153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</w:t>
      </w:r>
      <w:r w:rsidR="00424389">
        <w:rPr>
          <w:rFonts w:ascii="Open Sans" w:hAnsi="Open Sans" w:cs="Open Sans"/>
          <w:sz w:val="20"/>
          <w:szCs w:val="20"/>
          <w:shd w:val="clear" w:color="auto" w:fill="FFFFFF"/>
        </w:rPr>
        <w:t xml:space="preserve">os 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>CR</w:t>
      </w:r>
      <w:r w:rsidR="00424389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, será considerada, para fins de contagem de votos na Assembleia, a Instrução de Voto 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mais recente enviada por tal Titular d</w:t>
      </w:r>
      <w:r w:rsidR="00424389">
        <w:rPr>
          <w:rFonts w:ascii="Open Sans" w:hAnsi="Open Sans" w:cs="Open Sans"/>
          <w:sz w:val="20"/>
          <w:szCs w:val="20"/>
          <w:shd w:val="clear" w:color="auto" w:fill="FFFFFF"/>
        </w:rPr>
        <w:t>os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 CR</w:t>
      </w:r>
      <w:r w:rsidR="00424389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00DC8553" w14:textId="77777777" w:rsidR="00335153" w:rsidRPr="00335153" w:rsidRDefault="00335153" w:rsidP="00335153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3BEBE3C3" w14:textId="0CD1B282" w:rsidR="00335153" w:rsidRPr="00335153" w:rsidRDefault="00335153" w:rsidP="00335153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48914241" w14:textId="2476F452" w:rsidR="00335153" w:rsidRPr="00335153" w:rsidRDefault="00335153" w:rsidP="00335153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>O Titular d</w:t>
      </w:r>
      <w:r w:rsidR="00746CFD">
        <w:rPr>
          <w:rFonts w:ascii="Open Sans" w:hAnsi="Open Sans" w:cs="Open Sans"/>
          <w:sz w:val="20"/>
          <w:szCs w:val="20"/>
          <w:shd w:val="clear" w:color="auto" w:fill="FFFFFF"/>
        </w:rPr>
        <w:t xml:space="preserve">os 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>CR</w:t>
      </w:r>
      <w:r w:rsidR="00746CFD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 que </w:t>
      </w:r>
      <w:r w:rsidR="00DA6075">
        <w:rPr>
          <w:rFonts w:ascii="Open Sans" w:hAnsi="Open Sans" w:cs="Open Sans"/>
          <w:sz w:val="20"/>
          <w:szCs w:val="20"/>
          <w:shd w:val="clear" w:color="auto" w:fill="FFFFFF"/>
        </w:rPr>
        <w:t>enviar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 Instrução de Voto e esta for considerada válida não precisará acessar o </w:t>
      </w:r>
      <w:r w:rsidRPr="00DA6075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link 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>para participação digital da Assembleia, sendo sua participação e voto computados de forma automática, sem prejuízo da possibilidade de sua simples participação na Assembleia, na forma prevista no artigo 71, § 4º, inciso I, da Resolução CVM 81. Contudo, será desconsiderada a Instrução de Voto anteriormente enviada por tal Titular d</w:t>
      </w:r>
      <w:r w:rsidR="00B4392B">
        <w:rPr>
          <w:rFonts w:ascii="Open Sans" w:hAnsi="Open Sans" w:cs="Open Sans"/>
          <w:sz w:val="20"/>
          <w:szCs w:val="20"/>
          <w:shd w:val="clear" w:color="auto" w:fill="FFFFFF"/>
        </w:rPr>
        <w:t>os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 CR</w:t>
      </w:r>
      <w:r w:rsidR="00B4392B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</w:t>
      </w:r>
      <w:r w:rsidR="00B4392B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participe da Assembleia através de acesso ao </w:t>
      </w:r>
      <w:r w:rsidRPr="00B4392B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link 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e, cumulativamente, manifeste seu voto no ato de realização da Assembleia, conforme disposto no artigo 71, § 4º, inciso II, no artigo 75, § 1º, e no artigo 77, inciso I, todos da Resolução CVM 81. </w:t>
      </w:r>
    </w:p>
    <w:p w14:paraId="54B1533A" w14:textId="77777777" w:rsidR="00B4392B" w:rsidRDefault="00335153" w:rsidP="00B4392B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</w:p>
    <w:p w14:paraId="3320D8E4" w14:textId="31D2CAF0" w:rsidR="001306A5" w:rsidRPr="00B4392B" w:rsidRDefault="00FB0D24" w:rsidP="00B4392B">
      <w:pPr>
        <w:pStyle w:val="Estilo"/>
        <w:spacing w:before="280" w:after="140" w:line="290" w:lineRule="aut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>* * *</w:t>
      </w:r>
    </w:p>
    <w:p w14:paraId="5E83B002" w14:textId="585D9927" w:rsidR="008C3134" w:rsidRPr="00C74E26" w:rsidRDefault="008C3134" w:rsidP="00C74E26">
      <w:pPr>
        <w:spacing w:before="280" w:after="140" w:line="290" w:lineRule="auto"/>
        <w:jc w:val="both"/>
        <w:rPr>
          <w:rFonts w:ascii="Open Sans" w:hAnsi="Open Sans" w:cs="Open Sans"/>
          <w:sz w:val="20"/>
          <w:szCs w:val="20"/>
        </w:rPr>
      </w:pPr>
    </w:p>
    <w:sectPr w:rsidR="008C3134" w:rsidRPr="00C74E26" w:rsidSect="002815FF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1FDAB" w14:textId="77777777" w:rsidR="001966AD" w:rsidRDefault="001966AD" w:rsidP="00421DD1">
      <w:r>
        <w:separator/>
      </w:r>
    </w:p>
  </w:endnote>
  <w:endnote w:type="continuationSeparator" w:id="0">
    <w:p w14:paraId="51833545" w14:textId="77777777" w:rsidR="001966AD" w:rsidRDefault="001966AD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DokChampa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675703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p w14:paraId="5CF59250" w14:textId="2DBE3403" w:rsidR="00B207E3" w:rsidRPr="009C643A" w:rsidRDefault="009C643A" w:rsidP="009C643A">
        <w:pPr>
          <w:pStyle w:val="Rodap"/>
          <w:jc w:val="center"/>
          <w:rPr>
            <w:rFonts w:ascii="Open Sans" w:hAnsi="Open Sans" w:cs="Open Sans"/>
            <w:sz w:val="16"/>
            <w:szCs w:val="16"/>
          </w:rPr>
        </w:pPr>
        <w:r w:rsidRPr="009C643A">
          <w:rPr>
            <w:rFonts w:ascii="Open Sans" w:hAnsi="Open Sans" w:cs="Open Sans"/>
            <w:sz w:val="16"/>
            <w:szCs w:val="16"/>
          </w:rPr>
          <w:fldChar w:fldCharType="begin"/>
        </w:r>
        <w:r w:rsidRPr="009C643A">
          <w:rPr>
            <w:rFonts w:ascii="Open Sans" w:hAnsi="Open Sans" w:cs="Open Sans"/>
            <w:sz w:val="16"/>
            <w:szCs w:val="16"/>
          </w:rPr>
          <w:instrText>PAGE   \* MERGEFORMAT</w:instrText>
        </w:r>
        <w:r w:rsidRPr="009C643A">
          <w:rPr>
            <w:rFonts w:ascii="Open Sans" w:hAnsi="Open Sans" w:cs="Open Sans"/>
            <w:sz w:val="16"/>
            <w:szCs w:val="16"/>
          </w:rPr>
          <w:fldChar w:fldCharType="separate"/>
        </w:r>
        <w:r w:rsidRPr="009C643A">
          <w:rPr>
            <w:rFonts w:ascii="Open Sans" w:hAnsi="Open Sans" w:cs="Open Sans"/>
            <w:sz w:val="16"/>
            <w:szCs w:val="16"/>
          </w:rPr>
          <w:t>2</w:t>
        </w:r>
        <w:r w:rsidRPr="009C643A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FE39C" w14:textId="77777777" w:rsidR="001966AD" w:rsidRDefault="001966AD" w:rsidP="00421DD1">
      <w:r>
        <w:separator/>
      </w:r>
    </w:p>
  </w:footnote>
  <w:footnote w:type="continuationSeparator" w:id="0">
    <w:p w14:paraId="193B1E95" w14:textId="77777777" w:rsidR="001966AD" w:rsidRDefault="001966AD" w:rsidP="00421DD1">
      <w:r>
        <w:continuationSeparator/>
      </w:r>
    </w:p>
  </w:footnote>
  <w:footnote w:id="1">
    <w:p w14:paraId="00C34DD6" w14:textId="25653C13" w:rsidR="00607755" w:rsidRPr="00607755" w:rsidRDefault="00607755" w:rsidP="00607755">
      <w:pPr>
        <w:pStyle w:val="PargrafodaLista"/>
        <w:spacing w:before="280" w:after="140" w:line="290" w:lineRule="auto"/>
        <w:ind w:left="0"/>
        <w:jc w:val="both"/>
        <w:rPr>
          <w:rFonts w:ascii="Open Sans" w:hAnsi="Open Sans" w:cs="Open Sans"/>
          <w:color w:val="000000" w:themeColor="text1"/>
          <w:sz w:val="16"/>
          <w:szCs w:val="16"/>
        </w:rPr>
      </w:pPr>
      <w:r w:rsidRPr="00607755">
        <w:rPr>
          <w:rStyle w:val="Refdenotaderodap"/>
          <w:rFonts w:ascii="Open Sans" w:hAnsi="Open Sans" w:cs="Open Sans"/>
          <w:sz w:val="16"/>
          <w:szCs w:val="16"/>
        </w:rPr>
        <w:footnoteRef/>
      </w:r>
      <w:r w:rsidRPr="00607755">
        <w:rPr>
          <w:rFonts w:ascii="Open Sans" w:hAnsi="Open Sans" w:cs="Open Sans"/>
          <w:sz w:val="16"/>
          <w:szCs w:val="16"/>
        </w:rPr>
        <w:t xml:space="preserve"> </w:t>
      </w:r>
      <w:r w:rsidRPr="00607755">
        <w:rPr>
          <w:rFonts w:ascii="Open Sans" w:hAnsi="Open Sans" w:cs="Open Sans"/>
          <w:i/>
          <w:iCs/>
          <w:color w:val="000000" w:themeColor="text1"/>
          <w:sz w:val="16"/>
          <w:szCs w:val="16"/>
        </w:rPr>
        <w:t xml:space="preserve">Em atenção a este item “(a)”, a Securitizadora informa que o saldo devedor dos CRA, na mesma data de 22 de agosto de 2024, era de R$°36.899.799,90 (trinta e seis milhões, oitocentos e noventa e nove mil e setecentos e noventa e nove reais e noventa centavos) e a aprovação representaria um deságio de R$°10.512.133,23 (dez milhões, quinhentos e doze mil e cento e trinta e três reais e vinte e três centavos) ou 28,48% (vinte e oito inteiros e quarenta e oito centésimos por cento) sobre o saldo devedor dos CRA na referida data. </w:t>
      </w:r>
    </w:p>
  </w:footnote>
  <w:footnote w:id="2">
    <w:p w14:paraId="1051ABD8" w14:textId="05080CCA" w:rsidR="00607755" w:rsidRPr="00B47066" w:rsidRDefault="00607755" w:rsidP="00B47066">
      <w:pPr>
        <w:pStyle w:val="PargrafodaLista"/>
        <w:spacing w:before="280" w:after="140" w:line="290" w:lineRule="auto"/>
        <w:ind w:left="0"/>
        <w:jc w:val="both"/>
        <w:rPr>
          <w:rFonts w:ascii="Open Sans" w:hAnsi="Open Sans" w:cs="Open Sans"/>
          <w:color w:val="000000" w:themeColor="text1"/>
          <w:sz w:val="16"/>
          <w:szCs w:val="16"/>
        </w:rPr>
      </w:pPr>
      <w:r w:rsidRPr="00B47066">
        <w:rPr>
          <w:rStyle w:val="Refdenotaderodap"/>
          <w:rFonts w:ascii="Open Sans" w:hAnsi="Open Sans" w:cs="Open Sans"/>
          <w:sz w:val="16"/>
          <w:szCs w:val="16"/>
        </w:rPr>
        <w:footnoteRef/>
      </w:r>
      <w:r w:rsidRPr="00B47066">
        <w:rPr>
          <w:rFonts w:ascii="Open Sans" w:hAnsi="Open Sans" w:cs="Open Sans"/>
          <w:sz w:val="16"/>
          <w:szCs w:val="16"/>
        </w:rPr>
        <w:t xml:space="preserve"> </w:t>
      </w:r>
      <w:r w:rsidR="00B47066" w:rsidRPr="00B47066">
        <w:rPr>
          <w:rFonts w:ascii="Open Sans" w:hAnsi="Open Sans" w:cs="Open Sans"/>
          <w:i/>
          <w:iCs/>
          <w:color w:val="000000" w:themeColor="text1"/>
          <w:sz w:val="16"/>
          <w:szCs w:val="16"/>
        </w:rPr>
        <w:t>Em atenção a este item “(c)”, a Securitizadora informa que o saldo devedor dos CRA, na mesma data de 22 de agosto de 2024, era de R$°36.899.799,90 (trinta e seis milhões, oitocentos e noventa e nove mil e setecentos e noventa e nove reais e noventa centavos) e a aprovação representaria um deságio de 16,28% (dezesseis inteiros e vinte e oito centésimos por cento) sobre o saldo devedor dos CRA na referida data, ou 22,77% (vinte e dois inteiros e setenta e sete por cento) sobre o saldo devedor dos CRA reconhecido no item “(a)”</w:t>
      </w:r>
      <w:r w:rsidR="00B67E5B">
        <w:rPr>
          <w:rFonts w:ascii="Open Sans" w:hAnsi="Open Sans" w:cs="Open Sans"/>
          <w:i/>
          <w:iCs/>
          <w:color w:val="000000" w:themeColor="text1"/>
          <w:sz w:val="16"/>
          <w:szCs w:val="16"/>
        </w:rPr>
        <w:t xml:space="preserve"> “(i)”</w:t>
      </w:r>
      <w:r w:rsidR="00B47066" w:rsidRPr="00B47066">
        <w:rPr>
          <w:rFonts w:ascii="Open Sans" w:hAnsi="Open Sans" w:cs="Open Sans"/>
          <w:i/>
          <w:iCs/>
          <w:color w:val="000000" w:themeColor="text1"/>
          <w:sz w:val="16"/>
          <w:szCs w:val="16"/>
        </w:rPr>
        <w:t>.</w:t>
      </w:r>
    </w:p>
  </w:footnote>
  <w:footnote w:id="3">
    <w:p w14:paraId="55088B6E" w14:textId="4D35BC5E" w:rsidR="00BD1B59" w:rsidRPr="00BD1B59" w:rsidRDefault="00BD1B59" w:rsidP="00BD1B59">
      <w:pPr>
        <w:pStyle w:val="PargrafodaLista"/>
        <w:spacing w:before="280" w:after="140" w:line="290" w:lineRule="auto"/>
        <w:ind w:left="0"/>
        <w:jc w:val="both"/>
        <w:rPr>
          <w:rFonts w:ascii="Open Sans" w:hAnsi="Open Sans" w:cs="Open Sans"/>
          <w:color w:val="000000" w:themeColor="text1"/>
          <w:sz w:val="16"/>
          <w:szCs w:val="16"/>
        </w:rPr>
      </w:pPr>
      <w:r w:rsidRPr="00BD1B59">
        <w:rPr>
          <w:rStyle w:val="Refdenotaderodap"/>
          <w:rFonts w:ascii="Open Sans" w:hAnsi="Open Sans" w:cs="Open Sans"/>
          <w:sz w:val="16"/>
          <w:szCs w:val="16"/>
        </w:rPr>
        <w:footnoteRef/>
      </w:r>
      <w:r w:rsidRPr="00BD1B59">
        <w:rPr>
          <w:rFonts w:ascii="Open Sans" w:hAnsi="Open Sans" w:cs="Open Sans"/>
          <w:sz w:val="16"/>
          <w:szCs w:val="16"/>
        </w:rPr>
        <w:t xml:space="preserve"> </w:t>
      </w:r>
      <w:r w:rsidRPr="00BD1B59">
        <w:rPr>
          <w:rFonts w:ascii="Open Sans" w:hAnsi="Open Sans" w:cs="Open Sans"/>
          <w:i/>
          <w:iCs/>
          <w:color w:val="000000" w:themeColor="text1"/>
          <w:sz w:val="16"/>
          <w:szCs w:val="16"/>
        </w:rPr>
        <w:t>A Securitizadora esclarece, por fim, que aprovação da matéria prevista no item “(i)” acarretaria a modificação do saldo devedor dos CRA para que seja considerado o montante de R$°8.380.320,24 (oito milhões, trezentos e oitenta mil e trezentos e vinte reais e vinte e quatro centavos) em 22 de agosto de 2024, após a implementação de todo o quanto aprovado.</w:t>
      </w:r>
    </w:p>
  </w:footnote>
  <w:footnote w:id="4">
    <w:p w14:paraId="41C14781" w14:textId="3AD10B85" w:rsidR="003D6149" w:rsidRPr="003D6149" w:rsidRDefault="003D6149" w:rsidP="003D6149">
      <w:pPr>
        <w:widowControl w:val="0"/>
        <w:autoSpaceDE w:val="0"/>
        <w:autoSpaceDN w:val="0"/>
        <w:adjustRightInd w:val="0"/>
        <w:spacing w:before="280" w:after="140" w:line="290" w:lineRule="auto"/>
        <w:jc w:val="both"/>
        <w:rPr>
          <w:rFonts w:ascii="Open Sans" w:hAnsi="Open Sans" w:cs="Open Sans"/>
          <w:i/>
          <w:iCs/>
          <w:color w:val="000000" w:themeColor="text1"/>
          <w:sz w:val="16"/>
          <w:szCs w:val="16"/>
        </w:rPr>
      </w:pPr>
      <w:r w:rsidRPr="003D6149">
        <w:rPr>
          <w:rStyle w:val="Refdenotaderodap"/>
          <w:rFonts w:ascii="Open Sans" w:hAnsi="Open Sans" w:cs="Open Sans"/>
          <w:sz w:val="16"/>
          <w:szCs w:val="16"/>
        </w:rPr>
        <w:footnoteRef/>
      </w:r>
      <w:r w:rsidRPr="003D6149">
        <w:rPr>
          <w:rFonts w:ascii="Open Sans" w:hAnsi="Open Sans" w:cs="Open Sans"/>
          <w:sz w:val="16"/>
          <w:szCs w:val="16"/>
        </w:rPr>
        <w:t xml:space="preserve"> </w:t>
      </w:r>
      <w:r w:rsidRPr="003D6149">
        <w:rPr>
          <w:rFonts w:ascii="Open Sans" w:hAnsi="Open Sans" w:cs="Open Sans"/>
          <w:i/>
          <w:iCs/>
          <w:color w:val="000000" w:themeColor="text1"/>
          <w:sz w:val="16"/>
          <w:szCs w:val="16"/>
        </w:rPr>
        <w:t>Em atenção a este item</w:t>
      </w:r>
      <w:r w:rsidR="0099720D">
        <w:rPr>
          <w:rFonts w:ascii="Open Sans" w:hAnsi="Open Sans" w:cs="Open Sans"/>
          <w:i/>
          <w:iCs/>
          <w:color w:val="000000" w:themeColor="text1"/>
          <w:sz w:val="16"/>
          <w:szCs w:val="16"/>
        </w:rPr>
        <w:t xml:space="preserve"> “(a)”</w:t>
      </w:r>
      <w:r w:rsidRPr="003D6149">
        <w:rPr>
          <w:rFonts w:ascii="Open Sans" w:hAnsi="Open Sans" w:cs="Open Sans"/>
          <w:i/>
          <w:iCs/>
          <w:color w:val="000000" w:themeColor="text1"/>
          <w:sz w:val="16"/>
          <w:szCs w:val="16"/>
        </w:rPr>
        <w:t>, a Securitizadora informa que o saldo devedor dos CRA, na mesma data de 30 de setembro de 2024, era de R$°38.086.816,05 (trinta e oito milhões, oitenta e seis mil e oitocentos e dezesseis reais e cinco centavos) e a aprovação representaria um deságio de R$°11.109.543,11 (onze milhões, cento e nove mil e quinhentos e quarenta e três reais e onze centavos), ou 29,17% (vinte e nove inteiros e dezessete centésimos por cento) sobre o saldo devedor dos CRA, na referida data.</w:t>
      </w:r>
    </w:p>
  </w:footnote>
  <w:footnote w:id="5">
    <w:p w14:paraId="715F108F" w14:textId="51711672" w:rsidR="00654D72" w:rsidRPr="00654D72" w:rsidRDefault="00654D72" w:rsidP="00654D72">
      <w:pPr>
        <w:widowControl w:val="0"/>
        <w:autoSpaceDE w:val="0"/>
        <w:autoSpaceDN w:val="0"/>
        <w:adjustRightInd w:val="0"/>
        <w:spacing w:before="280" w:after="140" w:line="290" w:lineRule="auto"/>
        <w:jc w:val="both"/>
        <w:rPr>
          <w:rFonts w:ascii="Open Sans" w:hAnsi="Open Sans" w:cs="Open Sans"/>
          <w:i/>
          <w:iCs/>
          <w:color w:val="000000" w:themeColor="text1"/>
          <w:sz w:val="16"/>
          <w:szCs w:val="16"/>
        </w:rPr>
      </w:pPr>
      <w:r w:rsidRPr="00654D72">
        <w:rPr>
          <w:rStyle w:val="Refdenotaderodap"/>
          <w:rFonts w:ascii="Open Sans" w:hAnsi="Open Sans" w:cs="Open Sans"/>
          <w:sz w:val="16"/>
          <w:szCs w:val="16"/>
        </w:rPr>
        <w:footnoteRef/>
      </w:r>
      <w:r w:rsidRPr="00654D72">
        <w:rPr>
          <w:rFonts w:ascii="Open Sans" w:hAnsi="Open Sans" w:cs="Open Sans"/>
          <w:sz w:val="16"/>
          <w:szCs w:val="16"/>
        </w:rPr>
        <w:t xml:space="preserve"> </w:t>
      </w:r>
      <w:r w:rsidRPr="00654D72">
        <w:rPr>
          <w:rFonts w:ascii="Open Sans" w:hAnsi="Open Sans" w:cs="Open Sans"/>
          <w:i/>
          <w:iCs/>
          <w:color w:val="000000" w:themeColor="text1"/>
          <w:sz w:val="16"/>
          <w:szCs w:val="16"/>
        </w:rPr>
        <w:t>A Securitizadora esclarece, por fim, que aprovação</w:t>
      </w:r>
      <w:r>
        <w:rPr>
          <w:rFonts w:ascii="Open Sans" w:hAnsi="Open Sans" w:cs="Open Sans"/>
          <w:i/>
          <w:iCs/>
          <w:color w:val="000000" w:themeColor="text1"/>
          <w:sz w:val="16"/>
          <w:szCs w:val="16"/>
        </w:rPr>
        <w:t xml:space="preserve"> deste item “(</w:t>
      </w:r>
      <w:proofErr w:type="spellStart"/>
      <w:r>
        <w:rPr>
          <w:rFonts w:ascii="Open Sans" w:hAnsi="Open Sans" w:cs="Open Sans"/>
          <w:i/>
          <w:iCs/>
          <w:color w:val="000000" w:themeColor="text1"/>
          <w:sz w:val="16"/>
          <w:szCs w:val="16"/>
        </w:rPr>
        <w:t>ii</w:t>
      </w:r>
      <w:proofErr w:type="spellEnd"/>
      <w:r>
        <w:rPr>
          <w:rFonts w:ascii="Open Sans" w:hAnsi="Open Sans" w:cs="Open Sans"/>
          <w:i/>
          <w:iCs/>
          <w:color w:val="000000" w:themeColor="text1"/>
          <w:sz w:val="16"/>
          <w:szCs w:val="16"/>
        </w:rPr>
        <w:t>)”</w:t>
      </w:r>
      <w:r w:rsidRPr="00654D72">
        <w:rPr>
          <w:rFonts w:ascii="Open Sans" w:hAnsi="Open Sans" w:cs="Open Sans"/>
          <w:i/>
          <w:iCs/>
          <w:color w:val="000000" w:themeColor="text1"/>
          <w:sz w:val="16"/>
          <w:szCs w:val="16"/>
        </w:rPr>
        <w:t xml:space="preserve"> acarretaria a modificação do saldo devedor remanescente dos CRA, para que seja considerado o montante de R$°16.977.272,94 (dezesseis milhões, novecentos e setenta e sete mil e duzentos e setenta e dois reais e noventa e quatro centavos), em 30 de setembro de 2024, após a implementação de todo o quanto aprovado, com a incorporação da nova taxa de remuneração, referida no item “(c)”</w:t>
      </w:r>
      <w:r w:rsidR="0099720D">
        <w:rPr>
          <w:rFonts w:ascii="Open Sans" w:hAnsi="Open Sans" w:cs="Open Sans"/>
          <w:i/>
          <w:iCs/>
          <w:color w:val="000000" w:themeColor="text1"/>
          <w:sz w:val="16"/>
          <w:szCs w:val="16"/>
        </w:rPr>
        <w:t>, “(</w:t>
      </w:r>
      <w:proofErr w:type="spellStart"/>
      <w:r w:rsidR="0099720D">
        <w:rPr>
          <w:rFonts w:ascii="Open Sans" w:hAnsi="Open Sans" w:cs="Open Sans"/>
          <w:i/>
          <w:iCs/>
          <w:color w:val="000000" w:themeColor="text1"/>
          <w:sz w:val="16"/>
          <w:szCs w:val="16"/>
        </w:rPr>
        <w:t>ii</w:t>
      </w:r>
      <w:proofErr w:type="spellEnd"/>
      <w:r w:rsidR="0099720D">
        <w:rPr>
          <w:rFonts w:ascii="Open Sans" w:hAnsi="Open Sans" w:cs="Open Sans"/>
          <w:i/>
          <w:iCs/>
          <w:color w:val="000000" w:themeColor="text1"/>
          <w:sz w:val="16"/>
          <w:szCs w:val="16"/>
        </w:rPr>
        <w:t>)”</w:t>
      </w:r>
      <w:r w:rsidRPr="00654D72">
        <w:rPr>
          <w:rFonts w:ascii="Open Sans" w:hAnsi="Open Sans" w:cs="Open Sans"/>
          <w:i/>
          <w:iCs/>
          <w:color w:val="000000" w:themeColor="text1"/>
          <w:sz w:val="16"/>
          <w:szCs w:val="16"/>
        </w:rPr>
        <w:t>, a partir de 1º de outubro de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755E831A" w:rsidR="00B207E3" w:rsidRDefault="00C74E26" w:rsidP="00B667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5D8772E" wp14:editId="0816F065">
          <wp:simplePos x="0" y="0"/>
          <wp:positionH relativeFrom="column">
            <wp:posOffset>-766405</wp:posOffset>
          </wp:positionH>
          <wp:positionV relativeFrom="paragraph">
            <wp:posOffset>-402337</wp:posOffset>
          </wp:positionV>
          <wp:extent cx="1138555" cy="1190625"/>
          <wp:effectExtent l="0" t="0" r="4445" b="9525"/>
          <wp:wrapNone/>
          <wp:docPr id="3" name="Imagem 3" descr="Gráfico, Gráfico de funil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Gráfico, Gráfico de funil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525"/>
    <w:multiLevelType w:val="hybridMultilevel"/>
    <w:tmpl w:val="C3B0B5BE"/>
    <w:lvl w:ilvl="0" w:tplc="BFBE76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F454DC80"/>
    <w:lvl w:ilvl="0" w:tplc="9EEEA36E">
      <w:start w:val="1"/>
      <w:numFmt w:val="lowerRoman"/>
      <w:lvlText w:val="(%1)"/>
      <w:lvlJc w:val="lef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70158"/>
    <w:multiLevelType w:val="hybridMultilevel"/>
    <w:tmpl w:val="ADF63D6C"/>
    <w:lvl w:ilvl="0" w:tplc="ADFAC9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DD625A"/>
    <w:multiLevelType w:val="hybridMultilevel"/>
    <w:tmpl w:val="6C6E20FA"/>
    <w:lvl w:ilvl="0" w:tplc="372E46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A013D8"/>
    <w:multiLevelType w:val="hybridMultilevel"/>
    <w:tmpl w:val="BBC03EB8"/>
    <w:lvl w:ilvl="0" w:tplc="DCE498E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B76096"/>
    <w:multiLevelType w:val="hybridMultilevel"/>
    <w:tmpl w:val="7E24CE2C"/>
    <w:lvl w:ilvl="0" w:tplc="22B28BB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7"/>
  </w:num>
  <w:num w:numId="2" w16cid:durableId="517040810">
    <w:abstractNumId w:val="9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2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4"/>
  </w:num>
  <w:num w:numId="9" w16cid:durableId="1076433941">
    <w:abstractNumId w:val="10"/>
  </w:num>
  <w:num w:numId="10" w16cid:durableId="18709938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8"/>
  </w:num>
  <w:num w:numId="13" w16cid:durableId="2060321044">
    <w:abstractNumId w:val="13"/>
  </w:num>
  <w:num w:numId="14" w16cid:durableId="1739589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9655603">
    <w:abstractNumId w:val="11"/>
  </w:num>
  <w:num w:numId="16" w16cid:durableId="1384212921">
    <w:abstractNumId w:val="6"/>
  </w:num>
  <w:num w:numId="17" w16cid:durableId="518860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4614"/>
    <w:rsid w:val="00032FB4"/>
    <w:rsid w:val="000334DF"/>
    <w:rsid w:val="0003354C"/>
    <w:rsid w:val="00037358"/>
    <w:rsid w:val="0004143F"/>
    <w:rsid w:val="0004193D"/>
    <w:rsid w:val="0004230C"/>
    <w:rsid w:val="00042CCB"/>
    <w:rsid w:val="000604A2"/>
    <w:rsid w:val="000728FB"/>
    <w:rsid w:val="000733AC"/>
    <w:rsid w:val="00085619"/>
    <w:rsid w:val="000876FB"/>
    <w:rsid w:val="000A24E0"/>
    <w:rsid w:val="000A2D3A"/>
    <w:rsid w:val="000B00F9"/>
    <w:rsid w:val="000B198B"/>
    <w:rsid w:val="000B2178"/>
    <w:rsid w:val="000B26F6"/>
    <w:rsid w:val="000B28B4"/>
    <w:rsid w:val="000B7506"/>
    <w:rsid w:val="000D05DF"/>
    <w:rsid w:val="000D2078"/>
    <w:rsid w:val="000D3F44"/>
    <w:rsid w:val="000D4080"/>
    <w:rsid w:val="000E0289"/>
    <w:rsid w:val="000E4F5E"/>
    <w:rsid w:val="000F2A14"/>
    <w:rsid w:val="000F505D"/>
    <w:rsid w:val="000F62F0"/>
    <w:rsid w:val="00100336"/>
    <w:rsid w:val="00107AB4"/>
    <w:rsid w:val="00110816"/>
    <w:rsid w:val="00111659"/>
    <w:rsid w:val="00111B7A"/>
    <w:rsid w:val="00121850"/>
    <w:rsid w:val="001306A5"/>
    <w:rsid w:val="0013284A"/>
    <w:rsid w:val="00135CED"/>
    <w:rsid w:val="00136BE7"/>
    <w:rsid w:val="00152103"/>
    <w:rsid w:val="0015515D"/>
    <w:rsid w:val="00155920"/>
    <w:rsid w:val="0016198C"/>
    <w:rsid w:val="001626E6"/>
    <w:rsid w:val="00162EC5"/>
    <w:rsid w:val="00172C61"/>
    <w:rsid w:val="00174178"/>
    <w:rsid w:val="00180328"/>
    <w:rsid w:val="00180AC1"/>
    <w:rsid w:val="00182879"/>
    <w:rsid w:val="001833FF"/>
    <w:rsid w:val="00184FC6"/>
    <w:rsid w:val="00193DF5"/>
    <w:rsid w:val="001966AD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E52CC"/>
    <w:rsid w:val="001E53A6"/>
    <w:rsid w:val="001F020C"/>
    <w:rsid w:val="00207A8F"/>
    <w:rsid w:val="002137BE"/>
    <w:rsid w:val="002178FA"/>
    <w:rsid w:val="00217F3C"/>
    <w:rsid w:val="002324A3"/>
    <w:rsid w:val="00234F32"/>
    <w:rsid w:val="002408B2"/>
    <w:rsid w:val="0024169B"/>
    <w:rsid w:val="00245C1D"/>
    <w:rsid w:val="00246215"/>
    <w:rsid w:val="00262A56"/>
    <w:rsid w:val="00273CEE"/>
    <w:rsid w:val="00275C9C"/>
    <w:rsid w:val="00277C27"/>
    <w:rsid w:val="002815FF"/>
    <w:rsid w:val="00283472"/>
    <w:rsid w:val="00284A4D"/>
    <w:rsid w:val="00287D67"/>
    <w:rsid w:val="00291F6B"/>
    <w:rsid w:val="00292A8C"/>
    <w:rsid w:val="00297076"/>
    <w:rsid w:val="002A457E"/>
    <w:rsid w:val="002B483B"/>
    <w:rsid w:val="002B7997"/>
    <w:rsid w:val="002C5EA8"/>
    <w:rsid w:val="002C5FA4"/>
    <w:rsid w:val="002C67D4"/>
    <w:rsid w:val="002E00A4"/>
    <w:rsid w:val="002E2AD5"/>
    <w:rsid w:val="002E7BBD"/>
    <w:rsid w:val="002F6E67"/>
    <w:rsid w:val="002F7E00"/>
    <w:rsid w:val="00300504"/>
    <w:rsid w:val="00305C0E"/>
    <w:rsid w:val="00310DC6"/>
    <w:rsid w:val="00311D6D"/>
    <w:rsid w:val="00313C81"/>
    <w:rsid w:val="003175AA"/>
    <w:rsid w:val="00330015"/>
    <w:rsid w:val="0033167B"/>
    <w:rsid w:val="003330CB"/>
    <w:rsid w:val="00335153"/>
    <w:rsid w:val="00343E17"/>
    <w:rsid w:val="00351F1F"/>
    <w:rsid w:val="00352FD7"/>
    <w:rsid w:val="0035667F"/>
    <w:rsid w:val="003621F6"/>
    <w:rsid w:val="00363BBD"/>
    <w:rsid w:val="003717FA"/>
    <w:rsid w:val="00380E67"/>
    <w:rsid w:val="00382222"/>
    <w:rsid w:val="003854BB"/>
    <w:rsid w:val="00387D5E"/>
    <w:rsid w:val="0039480C"/>
    <w:rsid w:val="003955DD"/>
    <w:rsid w:val="003967F5"/>
    <w:rsid w:val="003A1437"/>
    <w:rsid w:val="003A2265"/>
    <w:rsid w:val="003A233D"/>
    <w:rsid w:val="003A6F95"/>
    <w:rsid w:val="003B391C"/>
    <w:rsid w:val="003D0A75"/>
    <w:rsid w:val="003D6149"/>
    <w:rsid w:val="003D7443"/>
    <w:rsid w:val="003E222B"/>
    <w:rsid w:val="003E2A2B"/>
    <w:rsid w:val="003E3803"/>
    <w:rsid w:val="003E46A9"/>
    <w:rsid w:val="003E67E3"/>
    <w:rsid w:val="003E7367"/>
    <w:rsid w:val="003E7EE3"/>
    <w:rsid w:val="003F11A1"/>
    <w:rsid w:val="003F4F42"/>
    <w:rsid w:val="003F7936"/>
    <w:rsid w:val="00407DC5"/>
    <w:rsid w:val="00410B23"/>
    <w:rsid w:val="00412FF8"/>
    <w:rsid w:val="00413D6A"/>
    <w:rsid w:val="0041663F"/>
    <w:rsid w:val="00420E3A"/>
    <w:rsid w:val="00420F73"/>
    <w:rsid w:val="00421DD1"/>
    <w:rsid w:val="00424389"/>
    <w:rsid w:val="00433096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21A"/>
    <w:rsid w:val="004B051C"/>
    <w:rsid w:val="004C06AF"/>
    <w:rsid w:val="004C0AF9"/>
    <w:rsid w:val="004C2358"/>
    <w:rsid w:val="004C4CA8"/>
    <w:rsid w:val="004E0603"/>
    <w:rsid w:val="004E27B5"/>
    <w:rsid w:val="005004CF"/>
    <w:rsid w:val="0050100E"/>
    <w:rsid w:val="00506301"/>
    <w:rsid w:val="005073E5"/>
    <w:rsid w:val="0051082E"/>
    <w:rsid w:val="00514815"/>
    <w:rsid w:val="005224D1"/>
    <w:rsid w:val="005230C1"/>
    <w:rsid w:val="005344D8"/>
    <w:rsid w:val="005350A6"/>
    <w:rsid w:val="00545A99"/>
    <w:rsid w:val="00546B5E"/>
    <w:rsid w:val="00556F6B"/>
    <w:rsid w:val="005603A8"/>
    <w:rsid w:val="00560AC3"/>
    <w:rsid w:val="005614DB"/>
    <w:rsid w:val="00576025"/>
    <w:rsid w:val="005868B0"/>
    <w:rsid w:val="005956FF"/>
    <w:rsid w:val="0059614C"/>
    <w:rsid w:val="005A08C8"/>
    <w:rsid w:val="005A20BB"/>
    <w:rsid w:val="005A44BF"/>
    <w:rsid w:val="005B26B2"/>
    <w:rsid w:val="005B671D"/>
    <w:rsid w:val="005B76D0"/>
    <w:rsid w:val="005C019D"/>
    <w:rsid w:val="005C1B2A"/>
    <w:rsid w:val="005C4E4F"/>
    <w:rsid w:val="005E6215"/>
    <w:rsid w:val="005F4380"/>
    <w:rsid w:val="005F43DF"/>
    <w:rsid w:val="005F778A"/>
    <w:rsid w:val="0060598F"/>
    <w:rsid w:val="00607502"/>
    <w:rsid w:val="00607755"/>
    <w:rsid w:val="00615194"/>
    <w:rsid w:val="00616E44"/>
    <w:rsid w:val="00620E7A"/>
    <w:rsid w:val="00623869"/>
    <w:rsid w:val="00624069"/>
    <w:rsid w:val="00624D73"/>
    <w:rsid w:val="0063177B"/>
    <w:rsid w:val="006501DC"/>
    <w:rsid w:val="00650D59"/>
    <w:rsid w:val="00653819"/>
    <w:rsid w:val="00654D72"/>
    <w:rsid w:val="00662D2D"/>
    <w:rsid w:val="0066565B"/>
    <w:rsid w:val="0066631F"/>
    <w:rsid w:val="00677EB9"/>
    <w:rsid w:val="00682720"/>
    <w:rsid w:val="006866FD"/>
    <w:rsid w:val="00690690"/>
    <w:rsid w:val="00691921"/>
    <w:rsid w:val="006B4B49"/>
    <w:rsid w:val="006C5150"/>
    <w:rsid w:val="006C7A91"/>
    <w:rsid w:val="006D39DD"/>
    <w:rsid w:val="006D78A4"/>
    <w:rsid w:val="006E24D4"/>
    <w:rsid w:val="006E4A0E"/>
    <w:rsid w:val="006F1735"/>
    <w:rsid w:val="006F3165"/>
    <w:rsid w:val="007032B1"/>
    <w:rsid w:val="00703F00"/>
    <w:rsid w:val="00711F1A"/>
    <w:rsid w:val="00724DB3"/>
    <w:rsid w:val="007266FC"/>
    <w:rsid w:val="00736439"/>
    <w:rsid w:val="0074072E"/>
    <w:rsid w:val="00744720"/>
    <w:rsid w:val="00746CFD"/>
    <w:rsid w:val="00752D9A"/>
    <w:rsid w:val="00767ECA"/>
    <w:rsid w:val="00790460"/>
    <w:rsid w:val="0079733C"/>
    <w:rsid w:val="007A245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E745B"/>
    <w:rsid w:val="007F05DA"/>
    <w:rsid w:val="007F09DA"/>
    <w:rsid w:val="007F1498"/>
    <w:rsid w:val="007F378B"/>
    <w:rsid w:val="007F57D3"/>
    <w:rsid w:val="007F5A7D"/>
    <w:rsid w:val="007F75F2"/>
    <w:rsid w:val="008012BE"/>
    <w:rsid w:val="00803683"/>
    <w:rsid w:val="00803FCA"/>
    <w:rsid w:val="00807E95"/>
    <w:rsid w:val="00811AFC"/>
    <w:rsid w:val="008139B6"/>
    <w:rsid w:val="0082045C"/>
    <w:rsid w:val="008271DB"/>
    <w:rsid w:val="00840295"/>
    <w:rsid w:val="00847395"/>
    <w:rsid w:val="00860FA0"/>
    <w:rsid w:val="0086322A"/>
    <w:rsid w:val="00870B67"/>
    <w:rsid w:val="00871DF6"/>
    <w:rsid w:val="00876B4F"/>
    <w:rsid w:val="00890ADF"/>
    <w:rsid w:val="00890E4B"/>
    <w:rsid w:val="00892468"/>
    <w:rsid w:val="00894061"/>
    <w:rsid w:val="00896EF0"/>
    <w:rsid w:val="00896F3A"/>
    <w:rsid w:val="008A1E03"/>
    <w:rsid w:val="008B52E0"/>
    <w:rsid w:val="008C0701"/>
    <w:rsid w:val="008C3134"/>
    <w:rsid w:val="008C3AB0"/>
    <w:rsid w:val="008E013C"/>
    <w:rsid w:val="00904CAD"/>
    <w:rsid w:val="0091013D"/>
    <w:rsid w:val="00911830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85191"/>
    <w:rsid w:val="00994215"/>
    <w:rsid w:val="00994F59"/>
    <w:rsid w:val="009950D4"/>
    <w:rsid w:val="00995B5A"/>
    <w:rsid w:val="0099720D"/>
    <w:rsid w:val="009A11DC"/>
    <w:rsid w:val="009A6283"/>
    <w:rsid w:val="009B267D"/>
    <w:rsid w:val="009B3D1E"/>
    <w:rsid w:val="009C0546"/>
    <w:rsid w:val="009C14A5"/>
    <w:rsid w:val="009C643A"/>
    <w:rsid w:val="009D17C4"/>
    <w:rsid w:val="009E776C"/>
    <w:rsid w:val="009F3B06"/>
    <w:rsid w:val="009F41DB"/>
    <w:rsid w:val="009F6304"/>
    <w:rsid w:val="009F6CBC"/>
    <w:rsid w:val="00A036BA"/>
    <w:rsid w:val="00A1394D"/>
    <w:rsid w:val="00A16A23"/>
    <w:rsid w:val="00A27DA4"/>
    <w:rsid w:val="00A33A4A"/>
    <w:rsid w:val="00A37AD8"/>
    <w:rsid w:val="00A61AC7"/>
    <w:rsid w:val="00A646AF"/>
    <w:rsid w:val="00A80260"/>
    <w:rsid w:val="00A93703"/>
    <w:rsid w:val="00A94B13"/>
    <w:rsid w:val="00A95826"/>
    <w:rsid w:val="00A964AD"/>
    <w:rsid w:val="00AA3032"/>
    <w:rsid w:val="00AA7020"/>
    <w:rsid w:val="00AB33CC"/>
    <w:rsid w:val="00AC51E1"/>
    <w:rsid w:val="00AC6D95"/>
    <w:rsid w:val="00AD2A2E"/>
    <w:rsid w:val="00AD40C6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A3B"/>
    <w:rsid w:val="00B15C01"/>
    <w:rsid w:val="00B207E3"/>
    <w:rsid w:val="00B26FBF"/>
    <w:rsid w:val="00B31430"/>
    <w:rsid w:val="00B36D7F"/>
    <w:rsid w:val="00B4392B"/>
    <w:rsid w:val="00B4515C"/>
    <w:rsid w:val="00B47066"/>
    <w:rsid w:val="00B63CA6"/>
    <w:rsid w:val="00B67E5B"/>
    <w:rsid w:val="00B70208"/>
    <w:rsid w:val="00B715C6"/>
    <w:rsid w:val="00B87750"/>
    <w:rsid w:val="00B87E3C"/>
    <w:rsid w:val="00BA27A0"/>
    <w:rsid w:val="00BC2FE8"/>
    <w:rsid w:val="00BC543A"/>
    <w:rsid w:val="00BD1B59"/>
    <w:rsid w:val="00BD7A6F"/>
    <w:rsid w:val="00BE5502"/>
    <w:rsid w:val="00BF0670"/>
    <w:rsid w:val="00BF1787"/>
    <w:rsid w:val="00BF7C0A"/>
    <w:rsid w:val="00C01606"/>
    <w:rsid w:val="00C01C0E"/>
    <w:rsid w:val="00C02664"/>
    <w:rsid w:val="00C044ED"/>
    <w:rsid w:val="00C27A78"/>
    <w:rsid w:val="00C3003E"/>
    <w:rsid w:val="00C403CD"/>
    <w:rsid w:val="00C41816"/>
    <w:rsid w:val="00C4296E"/>
    <w:rsid w:val="00C42CED"/>
    <w:rsid w:val="00C61A29"/>
    <w:rsid w:val="00C74E26"/>
    <w:rsid w:val="00C76229"/>
    <w:rsid w:val="00C764D5"/>
    <w:rsid w:val="00C80162"/>
    <w:rsid w:val="00C80210"/>
    <w:rsid w:val="00C823F1"/>
    <w:rsid w:val="00C9245B"/>
    <w:rsid w:val="00C96AD9"/>
    <w:rsid w:val="00C97EB7"/>
    <w:rsid w:val="00CA3E90"/>
    <w:rsid w:val="00CA6105"/>
    <w:rsid w:val="00CB208F"/>
    <w:rsid w:val="00CB2856"/>
    <w:rsid w:val="00CB432E"/>
    <w:rsid w:val="00CC2561"/>
    <w:rsid w:val="00CC7C51"/>
    <w:rsid w:val="00CD4974"/>
    <w:rsid w:val="00CE1E34"/>
    <w:rsid w:val="00CE23C9"/>
    <w:rsid w:val="00CE2F12"/>
    <w:rsid w:val="00CF3235"/>
    <w:rsid w:val="00CF4701"/>
    <w:rsid w:val="00CF56B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2495"/>
    <w:rsid w:val="00D4682B"/>
    <w:rsid w:val="00D50CCC"/>
    <w:rsid w:val="00D53209"/>
    <w:rsid w:val="00D535CD"/>
    <w:rsid w:val="00D6332B"/>
    <w:rsid w:val="00D67F7A"/>
    <w:rsid w:val="00D711EF"/>
    <w:rsid w:val="00D73198"/>
    <w:rsid w:val="00D92C2E"/>
    <w:rsid w:val="00D96E5D"/>
    <w:rsid w:val="00DA6075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059CA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670C"/>
    <w:rsid w:val="00E82114"/>
    <w:rsid w:val="00E85C9A"/>
    <w:rsid w:val="00E90E14"/>
    <w:rsid w:val="00E93557"/>
    <w:rsid w:val="00E953F3"/>
    <w:rsid w:val="00EA0716"/>
    <w:rsid w:val="00EA3F11"/>
    <w:rsid w:val="00EA5F16"/>
    <w:rsid w:val="00EA76F2"/>
    <w:rsid w:val="00EB6998"/>
    <w:rsid w:val="00EB7A18"/>
    <w:rsid w:val="00EC0133"/>
    <w:rsid w:val="00EC10DA"/>
    <w:rsid w:val="00EC44DD"/>
    <w:rsid w:val="00ED0EE2"/>
    <w:rsid w:val="00ED45DF"/>
    <w:rsid w:val="00EE4302"/>
    <w:rsid w:val="00EF3527"/>
    <w:rsid w:val="00F04446"/>
    <w:rsid w:val="00F04ADC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77177"/>
    <w:rsid w:val="00F80A5F"/>
    <w:rsid w:val="00F85126"/>
    <w:rsid w:val="00F85F1F"/>
    <w:rsid w:val="00F91067"/>
    <w:rsid w:val="00F96DD4"/>
    <w:rsid w:val="00FA61DD"/>
    <w:rsid w:val="00FA6FDB"/>
    <w:rsid w:val="00FA7669"/>
    <w:rsid w:val="00FB0D24"/>
    <w:rsid w:val="00FB6B15"/>
    <w:rsid w:val="00FC1DD0"/>
    <w:rsid w:val="00FC711E"/>
    <w:rsid w:val="00FE292B"/>
    <w:rsid w:val="00FE2961"/>
    <w:rsid w:val="00FE3B99"/>
    <w:rsid w:val="00FE4844"/>
    <w:rsid w:val="00FF4956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E550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E5502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BE550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775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7755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607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9399E207224A990D5C48DFE0C3DC" ma:contentTypeVersion="19" ma:contentTypeDescription="Crie um novo documento." ma:contentTypeScope="" ma:versionID="0305143ddca1e97cee6590f99384cfc3">
  <xsd:schema xmlns:xsd="http://www.w3.org/2001/XMLSchema" xmlns:xs="http://www.w3.org/2001/XMLSchema" xmlns:p="http://schemas.microsoft.com/office/2006/metadata/properties" xmlns:ns2="63cd3888-6dce-4879-9d02-778ca5cf9668" xmlns:ns3="e51bddb1-fa6e-4b97-b321-188dbd212885" targetNamespace="http://schemas.microsoft.com/office/2006/metadata/properties" ma:root="true" ma:fieldsID="8312ee38d18eb2745602aab2992b9669" ns2:_="" ns3:_="">
    <xsd:import namespace="63cd3888-6dce-4879-9d02-778ca5cf9668"/>
    <xsd:import namespace="e51bddb1-fa6e-4b97-b321-188dbd2128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3888-6dce-4879-9d02-778ca5cf96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c726c1-6fb1-4a0e-abb7-a0b80c8e6c1d}" ma:internalName="TaxCatchAll" ma:showField="CatchAllData" ma:web="63cd3888-6dce-4879-9d02-778ca5cf9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bddb1-fa6e-4b97-b321-188dbd212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d3888-6dce-4879-9d02-778ca5cf9668">FSV622TP5J5Y-1298124658-136174</_dlc_DocId>
    <_dlc_DocIdUrl xmlns="63cd3888-6dce-4879-9d02-778ca5cf9668">
      <Url>https://contatofortesec.sharepoint.com/sites/Juridico/_layouts/15/DocIdRedir.aspx?ID=FSV622TP5J5Y-1298124658-136174</Url>
      <Description>FSV622TP5J5Y-1298124658-136174</Description>
    </_dlc_DocIdUrl>
    <TaxCatchAll xmlns="63cd3888-6dce-4879-9d02-778ca5cf9668" xsi:nil="true"/>
    <lcf76f155ced4ddcb4097134ff3c332f xmlns="e51bddb1-fa6e-4b97-b321-188dbd21288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459D3B-66C9-425A-84D7-245A18DE0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3888-6dce-4879-9d02-778ca5cf9668"/>
    <ds:schemaRef ds:uri="e51bddb1-fa6e-4b97-b321-188dbd212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63cd3888-6dce-4879-9d02-778ca5cf9668"/>
    <ds:schemaRef ds:uri="e51bddb1-fa6e-4b97-b321-188dbd212885"/>
  </ds:schemaRefs>
</ds:datastoreItem>
</file>

<file path=customXml/itemProps4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2536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Danielle Peniche</cp:lastModifiedBy>
  <cp:revision>119</cp:revision>
  <cp:lastPrinted>2023-01-06T12:50:00Z</cp:lastPrinted>
  <dcterms:created xsi:type="dcterms:W3CDTF">2023-11-06T16:08:00Z</dcterms:created>
  <dcterms:modified xsi:type="dcterms:W3CDTF">2024-12-30T20:54:00Z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0x0101006ABB9399E207224A990D5C48DFE0C3DC</vt:lpwstr>
  </property>
  <property fmtid="{D5CDD505-2E9C-101B-9397-08002B2CF9AE}" pid="3" name="Order">
    <vt:r8>14159200</vt:r8>
  </property>
  <property fmtid="{D5CDD505-2E9C-101B-9397-08002B2CF9AE}" pid="4" name="_dlc_DocIdItemGuid">
    <vt:lpwstr>92d2f068-8f8e-4bc0-a771-354bb629d014</vt:lpwstr>
  </property>
  <property fmtid="{D5CDD505-2E9C-101B-9397-08002B2CF9AE}" pid="5" name="MediaServiceImageTags">
    <vt:lpwstr/>
  </property>
</Properties>
</file>