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1CB4C" w14:textId="725BF584" w:rsidR="008A1E03" w:rsidRPr="00C74E26" w:rsidRDefault="00FB0D24" w:rsidP="00C74E26">
      <w:pPr>
        <w:spacing w:before="280" w:after="140" w:line="290" w:lineRule="auto"/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C74E26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 w:rsidRPr="00C74E26">
        <w:rPr>
          <w:rFonts w:ascii="Open Sans" w:hAnsi="Open Sans" w:cs="Open Sans"/>
          <w:b/>
          <w:caps/>
          <w:sz w:val="20"/>
          <w:szCs w:val="20"/>
        </w:rPr>
        <w:t>A</w:t>
      </w:r>
      <w:r w:rsidRPr="00C74E26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79A5250A" w14:textId="2A18CF69" w:rsidR="00CD4974" w:rsidRDefault="0082045C" w:rsidP="00CD4974">
      <w:pPr>
        <w:spacing w:before="280" w:after="140" w:line="290" w:lineRule="auto"/>
        <w:contextualSpacing/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C74E2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</w:t>
      </w:r>
      <w:r w:rsidR="00EE0F85" w:rsidRPr="00A0380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ESPECIAL DE TITULARES DOS CERTIFICADOS DE RECEBÍVEIS IMOBILIÁRIOS </w:t>
      </w:r>
      <w:r w:rsidR="00EE0F85" w:rsidRPr="00A71DE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</w:t>
      </w:r>
      <w:bookmarkStart w:id="0" w:name="_Hlk40114722"/>
      <w:r w:rsidR="00EE0F85" w:rsidRPr="00A71DE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168ª A 173ª SÉRIE</w:t>
      </w:r>
      <w:bookmarkEnd w:id="0"/>
      <w:r w:rsidR="00EE0F85" w:rsidRPr="00A71DE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 DA 1ª EMISSÃO DA FORTE SECURITIZADORA S.A.</w:t>
      </w:r>
    </w:p>
    <w:p w14:paraId="04AC18F4" w14:textId="5D5E6DFF" w:rsidR="00AC51E1" w:rsidRPr="004B021A" w:rsidRDefault="00FB0D24" w:rsidP="00CD4974">
      <w:pPr>
        <w:spacing w:before="280" w:after="140" w:line="290" w:lineRule="auto"/>
        <w:contextualSpacing/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C74E26">
        <w:rPr>
          <w:rFonts w:ascii="Open Sans" w:hAnsi="Open Sans" w:cs="Open Sans"/>
          <w:b/>
          <w:caps/>
          <w:sz w:val="20"/>
          <w:szCs w:val="20"/>
        </w:rPr>
        <w:t>a ser realizada</w:t>
      </w:r>
      <w:r w:rsidR="00AD40C6">
        <w:rPr>
          <w:rFonts w:ascii="Open Sans" w:hAnsi="Open Sans" w:cs="Open Sans"/>
          <w:b/>
          <w:caps/>
          <w:sz w:val="20"/>
          <w:szCs w:val="20"/>
        </w:rPr>
        <w:t>,</w:t>
      </w:r>
      <w:r w:rsidRPr="00C74E26">
        <w:rPr>
          <w:rFonts w:ascii="Open Sans" w:hAnsi="Open Sans" w:cs="Open Sans"/>
          <w:b/>
          <w:caps/>
          <w:sz w:val="20"/>
          <w:szCs w:val="20"/>
        </w:rPr>
        <w:t xml:space="preserve"> em </w:t>
      </w:r>
      <w:r w:rsidR="00311D6D">
        <w:rPr>
          <w:rFonts w:ascii="Open Sans" w:hAnsi="Open Sans" w:cs="Open Sans"/>
          <w:b/>
          <w:caps/>
          <w:sz w:val="20"/>
          <w:szCs w:val="20"/>
        </w:rPr>
        <w:t>1ª</w:t>
      </w:r>
      <w:r w:rsidRPr="00C74E26">
        <w:rPr>
          <w:rFonts w:ascii="Open Sans" w:hAnsi="Open Sans" w:cs="Open Sans"/>
          <w:b/>
          <w:caps/>
          <w:sz w:val="20"/>
          <w:szCs w:val="20"/>
        </w:rPr>
        <w:t xml:space="preserve"> convocação</w:t>
      </w:r>
      <w:r w:rsidR="00AD40C6">
        <w:rPr>
          <w:rFonts w:ascii="Open Sans" w:hAnsi="Open Sans" w:cs="Open Sans"/>
          <w:b/>
          <w:caps/>
          <w:sz w:val="20"/>
          <w:szCs w:val="20"/>
        </w:rPr>
        <w:t>,</w:t>
      </w:r>
      <w:r w:rsidR="00B0580D" w:rsidRPr="00C74E26">
        <w:rPr>
          <w:rFonts w:ascii="Open Sans" w:hAnsi="Open Sans" w:cs="Open Sans"/>
          <w:b/>
          <w:caps/>
          <w:sz w:val="20"/>
          <w:szCs w:val="20"/>
        </w:rPr>
        <w:t xml:space="preserve"> em</w:t>
      </w:r>
      <w:r w:rsidR="00AF1FD2" w:rsidRPr="00C74E26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C93F7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30 </w:t>
      </w:r>
      <w:r w:rsidR="00126EF1" w:rsidRPr="00A0380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DE </w:t>
      </w:r>
      <w:r w:rsidR="00C93F7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ABRIL </w:t>
      </w:r>
      <w:r w:rsidR="00126EF1" w:rsidRPr="00A0380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2025</w:t>
      </w:r>
      <w:r w:rsidR="00AD40C6">
        <w:rPr>
          <w:rFonts w:ascii="Open Sans" w:hAnsi="Open Sans" w:cs="Open Sans"/>
          <w:b/>
          <w:bCs/>
          <w:caps/>
          <w:sz w:val="20"/>
          <w:szCs w:val="20"/>
        </w:rPr>
        <w:t>,</w:t>
      </w:r>
      <w:r w:rsidR="00811AFC" w:rsidRPr="00811AFC">
        <w:t xml:space="preserve"> </w:t>
      </w:r>
      <w:r w:rsidR="00811AFC" w:rsidRPr="00811AFC">
        <w:rPr>
          <w:rFonts w:ascii="Open Sans" w:hAnsi="Open Sans" w:cs="Open Sans"/>
          <w:b/>
          <w:bCs/>
          <w:caps/>
          <w:sz w:val="20"/>
          <w:szCs w:val="20"/>
        </w:rPr>
        <w:t xml:space="preserve">EM EVENTUAIS REABERTURAS E/OU EM </w:t>
      </w:r>
      <w:r w:rsidR="00AD40C6">
        <w:rPr>
          <w:rFonts w:ascii="Open Sans" w:hAnsi="Open Sans" w:cs="Open Sans"/>
          <w:b/>
          <w:bCs/>
          <w:caps/>
          <w:sz w:val="20"/>
          <w:szCs w:val="20"/>
        </w:rPr>
        <w:t>2ª</w:t>
      </w:r>
      <w:r w:rsidR="00811AFC" w:rsidRPr="00811AFC">
        <w:rPr>
          <w:rFonts w:ascii="Open Sans" w:hAnsi="Open Sans" w:cs="Open Sans"/>
          <w:b/>
          <w:bCs/>
          <w:caps/>
          <w:sz w:val="20"/>
          <w:szCs w:val="20"/>
        </w:rPr>
        <w:t xml:space="preserve"> CONVOCAÇÃO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F85126" w:rsidRPr="00C74E26" w14:paraId="1A11EBDC" w14:textId="77777777" w:rsidTr="00420F73">
        <w:trPr>
          <w:trHeight w:val="391"/>
        </w:trPr>
        <w:tc>
          <w:tcPr>
            <w:tcW w:w="9072" w:type="dxa"/>
            <w:gridSpan w:val="2"/>
            <w:vAlign w:val="center"/>
          </w:tcPr>
          <w:p w14:paraId="210363A1" w14:textId="5D7EFAF0" w:rsidR="00F85126" w:rsidRPr="00F85126" w:rsidRDefault="00F85126" w:rsidP="002815FF">
            <w:pPr>
              <w:pStyle w:val="Estilo"/>
              <w:spacing w:line="290" w:lineRule="auto"/>
              <w:jc w:val="center"/>
              <w:rPr>
                <w:rFonts w:ascii="Open Sans" w:hAnsi="Open Sans" w:cs="Open Sans"/>
                <w:b/>
                <w:bCs/>
                <w:shd w:val="clear" w:color="auto" w:fill="FFFFFF"/>
              </w:rPr>
            </w:pPr>
            <w:r w:rsidRPr="00F85126">
              <w:rPr>
                <w:rFonts w:ascii="Open Sans" w:hAnsi="Open Sans" w:cs="Open Sans"/>
                <w:b/>
                <w:bCs/>
                <w:shd w:val="clear" w:color="auto" w:fill="FFFFFF"/>
              </w:rPr>
              <w:t>TITULAR DOS CR</w:t>
            </w:r>
            <w:r w:rsidR="00126EF1">
              <w:rPr>
                <w:rFonts w:ascii="Open Sans" w:hAnsi="Open Sans" w:cs="Open Sans"/>
                <w:b/>
                <w:bCs/>
                <w:shd w:val="clear" w:color="auto" w:fill="FFFFFF"/>
              </w:rPr>
              <w:t>I</w:t>
            </w:r>
          </w:p>
        </w:tc>
      </w:tr>
      <w:tr w:rsidR="00FB0D24" w:rsidRPr="00C74E26" w14:paraId="21F40042" w14:textId="77777777" w:rsidTr="00420F73">
        <w:trPr>
          <w:trHeight w:val="127"/>
        </w:trPr>
        <w:tc>
          <w:tcPr>
            <w:tcW w:w="3261" w:type="dxa"/>
            <w:vAlign w:val="center"/>
          </w:tcPr>
          <w:p w14:paraId="75BEC917" w14:textId="6DDF0054" w:rsidR="00FB0D24" w:rsidRPr="00C74E26" w:rsidRDefault="00FB0D24" w:rsidP="002815FF">
            <w:pPr>
              <w:pStyle w:val="Estilo"/>
              <w:spacing w:line="290" w:lineRule="auto"/>
              <w:rPr>
                <w:rFonts w:ascii="Open Sans" w:hAnsi="Open Sans" w:cs="Open Sans"/>
                <w:shd w:val="clear" w:color="auto" w:fill="FFFFFF"/>
              </w:rPr>
            </w:pPr>
            <w:r w:rsidRPr="00C74E26">
              <w:rPr>
                <w:rFonts w:ascii="Open Sans" w:hAnsi="Open Sans" w:cs="Open Sans"/>
                <w:shd w:val="clear" w:color="auto" w:fill="FFFFFF"/>
              </w:rPr>
              <w:t>Nome/Denominação</w:t>
            </w:r>
            <w:r w:rsidR="00F85126">
              <w:rPr>
                <w:rFonts w:ascii="Open Sans" w:hAnsi="Open Sans" w:cs="Open Sans"/>
                <w:shd w:val="clear" w:color="auto" w:fill="FFFFFF"/>
              </w:rPr>
              <w:t xml:space="preserve"> Social:</w:t>
            </w:r>
          </w:p>
        </w:tc>
        <w:tc>
          <w:tcPr>
            <w:tcW w:w="5811" w:type="dxa"/>
            <w:vAlign w:val="center"/>
          </w:tcPr>
          <w:p w14:paraId="333561C1" w14:textId="025D8FF0" w:rsidR="00FB0D24" w:rsidRPr="00C74E26" w:rsidRDefault="00FB0D24" w:rsidP="002815FF">
            <w:pPr>
              <w:pStyle w:val="Estilo"/>
              <w:spacing w:line="290" w:lineRule="auto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C74E26" w14:paraId="4F9C9A9E" w14:textId="77777777" w:rsidTr="00420F73">
        <w:tc>
          <w:tcPr>
            <w:tcW w:w="3261" w:type="dxa"/>
            <w:vAlign w:val="center"/>
          </w:tcPr>
          <w:p w14:paraId="1ABE1E64" w14:textId="1F1C803E" w:rsidR="00FB0D24" w:rsidRPr="00C74E26" w:rsidRDefault="00FB0D24" w:rsidP="002815FF">
            <w:pPr>
              <w:pStyle w:val="Estilo"/>
              <w:spacing w:line="290" w:lineRule="auto"/>
              <w:rPr>
                <w:rFonts w:ascii="Open Sans" w:hAnsi="Open Sans" w:cs="Open Sans"/>
                <w:shd w:val="clear" w:color="auto" w:fill="FFFFFF"/>
              </w:rPr>
            </w:pPr>
            <w:r w:rsidRPr="00C74E26">
              <w:rPr>
                <w:rFonts w:ascii="Open Sans" w:hAnsi="Open Sans" w:cs="Open Sans"/>
                <w:shd w:val="clear" w:color="auto" w:fill="FFFFFF"/>
              </w:rPr>
              <w:t>CPF/CNPJ</w:t>
            </w:r>
            <w:r w:rsidR="00F85126">
              <w:rPr>
                <w:rFonts w:ascii="Open Sans" w:hAnsi="Open Sans" w:cs="Open Sans"/>
                <w:shd w:val="clear" w:color="auto" w:fill="FFFFFF"/>
              </w:rPr>
              <w:t>:</w:t>
            </w:r>
          </w:p>
        </w:tc>
        <w:tc>
          <w:tcPr>
            <w:tcW w:w="5811" w:type="dxa"/>
            <w:vAlign w:val="center"/>
          </w:tcPr>
          <w:p w14:paraId="0AA0A312" w14:textId="77777777" w:rsidR="00FB0D24" w:rsidRPr="00C74E26" w:rsidRDefault="00FB0D24" w:rsidP="002815FF">
            <w:pPr>
              <w:pStyle w:val="Estilo"/>
              <w:spacing w:line="290" w:lineRule="auto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C74E26" w14:paraId="50C22F28" w14:textId="77777777" w:rsidTr="00420F73">
        <w:tc>
          <w:tcPr>
            <w:tcW w:w="3261" w:type="dxa"/>
            <w:vAlign w:val="center"/>
          </w:tcPr>
          <w:p w14:paraId="68E68C83" w14:textId="31FC5A41" w:rsidR="00FB0D24" w:rsidRPr="00F85126" w:rsidRDefault="00FB0D24" w:rsidP="002815FF">
            <w:pPr>
              <w:pStyle w:val="Estilo"/>
              <w:spacing w:line="290" w:lineRule="auto"/>
              <w:rPr>
                <w:rFonts w:ascii="Open Sans" w:hAnsi="Open Sans" w:cs="Open Sans"/>
                <w:shd w:val="clear" w:color="auto" w:fill="FFFFFF"/>
              </w:rPr>
            </w:pPr>
            <w:r w:rsidRPr="00C74E26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="00F85126">
              <w:rPr>
                <w:rFonts w:ascii="Open Sans" w:hAnsi="Open Sans" w:cs="Open Sans"/>
                <w:shd w:val="clear" w:color="auto" w:fill="FFFFFF"/>
              </w:rPr>
              <w:t>:</w:t>
            </w:r>
          </w:p>
        </w:tc>
        <w:tc>
          <w:tcPr>
            <w:tcW w:w="5811" w:type="dxa"/>
            <w:vAlign w:val="center"/>
          </w:tcPr>
          <w:p w14:paraId="6FA96630" w14:textId="77777777" w:rsidR="00FB0D24" w:rsidRPr="00C74E26" w:rsidRDefault="00FB0D24" w:rsidP="002815FF">
            <w:pPr>
              <w:pStyle w:val="Estilo"/>
              <w:spacing w:line="290" w:lineRule="auto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C74E26" w14:paraId="2E187A9D" w14:textId="77777777" w:rsidTr="00420F73">
        <w:tc>
          <w:tcPr>
            <w:tcW w:w="3261" w:type="dxa"/>
            <w:vAlign w:val="center"/>
          </w:tcPr>
          <w:p w14:paraId="12307891" w14:textId="68FA3FE8" w:rsidR="00FB0D24" w:rsidRPr="00C74E26" w:rsidRDefault="00FB0D24" w:rsidP="002815FF">
            <w:pPr>
              <w:pStyle w:val="Estilo"/>
              <w:spacing w:line="290" w:lineRule="auto"/>
              <w:rPr>
                <w:rFonts w:ascii="Open Sans" w:hAnsi="Open Sans" w:cs="Open Sans"/>
                <w:shd w:val="clear" w:color="auto" w:fill="FFFFFF"/>
              </w:rPr>
            </w:pPr>
            <w:r w:rsidRPr="00C74E26">
              <w:rPr>
                <w:rFonts w:ascii="Open Sans" w:hAnsi="Open Sans" w:cs="Open Sans"/>
                <w:shd w:val="clear" w:color="auto" w:fill="FFFFFF"/>
              </w:rPr>
              <w:t>Telefone</w:t>
            </w:r>
            <w:r w:rsidR="00F85126">
              <w:rPr>
                <w:rFonts w:ascii="Open Sans" w:hAnsi="Open Sans" w:cs="Open Sans"/>
                <w:shd w:val="clear" w:color="auto" w:fill="FFFFFF"/>
              </w:rPr>
              <w:t>:</w:t>
            </w:r>
          </w:p>
        </w:tc>
        <w:tc>
          <w:tcPr>
            <w:tcW w:w="5811" w:type="dxa"/>
            <w:vAlign w:val="center"/>
          </w:tcPr>
          <w:p w14:paraId="688E1715" w14:textId="77777777" w:rsidR="00FB0D24" w:rsidRPr="00C74E26" w:rsidRDefault="00FB0D24" w:rsidP="002815FF">
            <w:pPr>
              <w:pStyle w:val="Estilo"/>
              <w:spacing w:line="290" w:lineRule="aut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1A664A12" w:rsidR="00BC543A" w:rsidRPr="00E9708B" w:rsidRDefault="00FC711E" w:rsidP="00FC711E">
      <w:pPr>
        <w:pStyle w:val="Estilo"/>
        <w:pBdr>
          <w:bottom w:val="single" w:sz="12" w:space="0" w:color="auto"/>
        </w:pBdr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E9708B">
        <w:rPr>
          <w:rFonts w:ascii="Open Sans" w:hAnsi="Open Sans" w:cs="Open Sans"/>
          <w:sz w:val="20"/>
          <w:szCs w:val="20"/>
          <w:shd w:val="clear" w:color="auto" w:fill="FFFFFF"/>
        </w:rPr>
        <w:t xml:space="preserve">As definições ora utilizadas (entendidas como aquelas iniciadas em letra maiúscula e com contexto próprio) e que não estejam expressamente definidas nesta </w:t>
      </w:r>
      <w:r w:rsidR="004B021A" w:rsidRPr="00E9708B">
        <w:rPr>
          <w:rFonts w:ascii="Open Sans" w:hAnsi="Open Sans" w:cs="Open Sans"/>
          <w:sz w:val="20"/>
          <w:szCs w:val="20"/>
          <w:shd w:val="clear" w:color="auto" w:fill="FFFFFF"/>
        </w:rPr>
        <w:t>“</w:t>
      </w:r>
      <w:r w:rsidR="004B021A" w:rsidRPr="00765F1D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Instrução de Vota a </w:t>
      </w:r>
      <w:r w:rsidR="00911830" w:rsidRPr="00765F1D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Distância</w:t>
      </w:r>
      <w:r w:rsidR="003717FA" w:rsidRPr="00765F1D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 </w:t>
      </w:r>
      <w:r w:rsidR="004B021A" w:rsidRPr="00765F1D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da </w:t>
      </w:r>
      <w:r w:rsidR="00277D9A" w:rsidRPr="00765F1D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Assembleia Especial de Titulares dos Certificados de Recebíveis Imobiliários da 168ª a 173ª Séries da 1ª Emissão</w:t>
      </w:r>
      <w:r w:rsidR="00AA3032" w:rsidRPr="00765F1D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 da</w:t>
      </w:r>
      <w:r w:rsidR="00D711EF" w:rsidRPr="00765F1D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 Forte Securitizadora S.A</w:t>
      </w:r>
      <w:r w:rsidR="00EE4302" w:rsidRPr="00765F1D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.</w:t>
      </w:r>
      <w:r w:rsidR="00EE4302" w:rsidRPr="00E9708B">
        <w:rPr>
          <w:rFonts w:ascii="Open Sans" w:hAnsi="Open Sans" w:cs="Open Sans"/>
          <w:sz w:val="20"/>
          <w:szCs w:val="20"/>
          <w:shd w:val="clear" w:color="auto" w:fill="FFFFFF"/>
        </w:rPr>
        <w:t>”</w:t>
      </w:r>
      <w:r w:rsidR="00AA3032" w:rsidRPr="00E9708B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D711EF" w:rsidRPr="00E9708B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="00D711EF" w:rsidRPr="00E9708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="00D711EF" w:rsidRPr="00E9708B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="00D711EF" w:rsidRPr="00E9708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Assembleia</w:t>
      </w:r>
      <w:r w:rsidR="00D711EF" w:rsidRPr="00E9708B">
        <w:rPr>
          <w:rFonts w:ascii="Open Sans" w:hAnsi="Open Sans" w:cs="Open Sans"/>
          <w:sz w:val="20"/>
          <w:szCs w:val="20"/>
          <w:shd w:val="clear" w:color="auto" w:fill="FFFFFF"/>
        </w:rPr>
        <w:t>” e “</w:t>
      </w:r>
      <w:r w:rsidR="00D711EF" w:rsidRPr="00E9708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</w:t>
      </w:r>
      <w:r w:rsidR="00277D9A" w:rsidRPr="00E9708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RI</w:t>
      </w:r>
      <w:r w:rsidR="00D711EF" w:rsidRPr="00E9708B">
        <w:rPr>
          <w:rFonts w:ascii="Open Sans" w:hAnsi="Open Sans" w:cs="Open Sans"/>
          <w:sz w:val="20"/>
          <w:szCs w:val="20"/>
          <w:shd w:val="clear" w:color="auto" w:fill="FFFFFF"/>
        </w:rPr>
        <w:t>”, respectivamente)</w:t>
      </w:r>
      <w:r w:rsidR="007E745B" w:rsidRPr="00E9708B">
        <w:rPr>
          <w:rFonts w:ascii="Open Sans" w:hAnsi="Open Sans" w:cs="Open Sans"/>
          <w:sz w:val="20"/>
          <w:szCs w:val="20"/>
          <w:shd w:val="clear" w:color="auto" w:fill="FFFFFF"/>
        </w:rPr>
        <w:t>,</w:t>
      </w:r>
      <w:r w:rsidR="00D711EF" w:rsidRPr="00E9708B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F77177" w:rsidRPr="00E9708B">
        <w:rPr>
          <w:rFonts w:ascii="Open Sans" w:hAnsi="Open Sans" w:cs="Open Sans"/>
          <w:sz w:val="20"/>
          <w:szCs w:val="20"/>
          <w:shd w:val="clear" w:color="auto" w:fill="FFFFFF"/>
        </w:rPr>
        <w:t>terão o respectivo significado atribuído no</w:t>
      </w:r>
      <w:r w:rsidR="00D711EF" w:rsidRPr="00E9708B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36652B" w:rsidRPr="00E9708B">
        <w:rPr>
          <w:rFonts w:ascii="Open Sans" w:hAnsi="Open Sans" w:cs="Open Sans"/>
          <w:bCs/>
          <w:color w:val="000000" w:themeColor="text1"/>
          <w:sz w:val="20"/>
          <w:szCs w:val="20"/>
        </w:rPr>
        <w:t>“</w:t>
      </w:r>
      <w:r w:rsidR="0036652B" w:rsidRPr="00E9708B">
        <w:rPr>
          <w:rFonts w:ascii="Open Sans" w:hAnsi="Open Sans" w:cs="Open Sans"/>
          <w:bCs/>
          <w:i/>
          <w:iCs/>
          <w:color w:val="000000" w:themeColor="text1"/>
          <w:sz w:val="20"/>
          <w:szCs w:val="20"/>
        </w:rPr>
        <w:t>Termo de Securitização de Créditos Imobiliários das 168ª, 169ª, 170ª, 171ª, 172ª e 173ª Séries da 1ª Emissão de Certificados de Recebíveis Imobiliários da Forte Securitizadora S.A.</w:t>
      </w:r>
      <w:r w:rsidR="0036652B" w:rsidRPr="00E9708B">
        <w:rPr>
          <w:rFonts w:ascii="Open Sans" w:hAnsi="Open Sans" w:cs="Open Sans"/>
          <w:bCs/>
          <w:color w:val="000000" w:themeColor="text1"/>
          <w:sz w:val="20"/>
          <w:szCs w:val="20"/>
        </w:rPr>
        <w:t>” celebrado, em 15 de maio de 2018</w:t>
      </w:r>
      <w:r w:rsidR="00546B5E" w:rsidRPr="00E9708B">
        <w:rPr>
          <w:rFonts w:ascii="Open Sans" w:hAnsi="Open Sans" w:cs="Open Sans"/>
          <w:sz w:val="20"/>
          <w:szCs w:val="20"/>
          <w:shd w:val="clear" w:color="auto" w:fill="FFFFFF"/>
        </w:rPr>
        <w:t xml:space="preserve">, entre </w:t>
      </w:r>
      <w:r w:rsidR="00546B5E" w:rsidRPr="00E9708B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FORTE SECURITIZADORA S.A.</w:t>
      </w:r>
      <w:r w:rsidR="00546B5E" w:rsidRPr="00E9708B">
        <w:rPr>
          <w:rFonts w:ascii="Open Sans" w:hAnsi="Open Sans" w:cs="Open Sans"/>
          <w:sz w:val="20"/>
          <w:szCs w:val="20"/>
          <w:shd w:val="clear" w:color="auto" w:fill="FFFFFF"/>
        </w:rPr>
        <w:t>, companhia securitizadora, com sede na Cidade de São Paulo, Estado de São Paulo, na Rua Fidêncio Ramos nº 213, 4º andar, Vila Olímpia, CEP 04.551-010, inscrita no CNPJ sob o nº 12.979.898/0001-70 (“</w:t>
      </w:r>
      <w:r w:rsidR="00546B5E" w:rsidRPr="00E9708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="00546B5E" w:rsidRPr="00E9708B">
        <w:rPr>
          <w:rFonts w:ascii="Open Sans" w:hAnsi="Open Sans" w:cs="Open Sans"/>
          <w:sz w:val="20"/>
          <w:szCs w:val="20"/>
          <w:shd w:val="clear" w:color="auto" w:fill="FFFFFF"/>
        </w:rPr>
        <w:t>” ou “</w:t>
      </w:r>
      <w:r w:rsidR="00546B5E" w:rsidRPr="00E9708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Securitizadora</w:t>
      </w:r>
      <w:r w:rsidR="00546B5E" w:rsidRPr="00E9708B">
        <w:rPr>
          <w:rFonts w:ascii="Open Sans" w:hAnsi="Open Sans" w:cs="Open Sans"/>
          <w:sz w:val="20"/>
          <w:szCs w:val="20"/>
          <w:shd w:val="clear" w:color="auto" w:fill="FFFFFF"/>
        </w:rPr>
        <w:t xml:space="preserve">”), e </w:t>
      </w:r>
      <w:r w:rsidR="00546B5E" w:rsidRPr="00E9708B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VÓRTX DISTRIBUIDORA DE TÍTULOS E VALORES MOBILIÁRIOS LTDA</w:t>
      </w:r>
      <w:r w:rsidR="00546B5E" w:rsidRPr="00E9708B">
        <w:rPr>
          <w:rFonts w:ascii="Open Sans" w:hAnsi="Open Sans" w:cs="Open Sans"/>
          <w:sz w:val="20"/>
          <w:szCs w:val="20"/>
          <w:shd w:val="clear" w:color="auto" w:fill="FFFFFF"/>
        </w:rPr>
        <w:t xml:space="preserve">., </w:t>
      </w:r>
      <w:r w:rsidR="00CB208F" w:rsidRPr="00E9708B">
        <w:rPr>
          <w:rFonts w:ascii="Open Sans" w:hAnsi="Open Sans" w:cs="Open Sans"/>
          <w:sz w:val="20"/>
          <w:szCs w:val="20"/>
          <w:shd w:val="clear" w:color="auto" w:fill="FFFFFF"/>
        </w:rPr>
        <w:t>sociedade empresária limitada</w:t>
      </w:r>
      <w:r w:rsidR="00546B5E" w:rsidRPr="00E9708B">
        <w:rPr>
          <w:rFonts w:ascii="Open Sans" w:hAnsi="Open Sans" w:cs="Open Sans"/>
          <w:sz w:val="20"/>
          <w:szCs w:val="20"/>
          <w:shd w:val="clear" w:color="auto" w:fill="FFFFFF"/>
        </w:rPr>
        <w:t>, com sede na Cidade de São Paulo, Estado de São Paulo, na Rua Gilberto Sabino, nº 215, 4º andar, Pinheiros, inscrita no CNPJ sob o n° 22.610.500/0001-88</w:t>
      </w:r>
      <w:r w:rsidR="008271DB" w:rsidRPr="00E9708B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="008271DB" w:rsidRPr="00E9708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Vórtx</w:t>
      </w:r>
      <w:r w:rsidR="008271DB" w:rsidRPr="00E9708B">
        <w:rPr>
          <w:rFonts w:ascii="Open Sans" w:hAnsi="Open Sans" w:cs="Open Sans"/>
          <w:sz w:val="20"/>
          <w:szCs w:val="20"/>
          <w:shd w:val="clear" w:color="auto" w:fill="FFFFFF"/>
        </w:rPr>
        <w:t>”)</w:t>
      </w:r>
      <w:r w:rsidR="00E9708B" w:rsidRPr="00E9708B">
        <w:rPr>
          <w:rFonts w:ascii="Open Sans" w:hAnsi="Open Sans" w:cs="Open Sans"/>
          <w:sz w:val="20"/>
          <w:szCs w:val="20"/>
          <w:shd w:val="clear" w:color="auto" w:fill="FFFFFF"/>
        </w:rPr>
        <w:t>,</w:t>
      </w:r>
      <w:r w:rsidR="00514815" w:rsidRPr="00E9708B">
        <w:rPr>
          <w:rFonts w:ascii="Open Sans" w:hAnsi="Open Sans" w:cs="Open Sans"/>
          <w:sz w:val="20"/>
          <w:szCs w:val="20"/>
          <w:shd w:val="clear" w:color="auto" w:fill="FFFFFF"/>
        </w:rPr>
        <w:t xml:space="preserve"> na qualidade de agente fiduciário dos CR</w:t>
      </w:r>
      <w:r w:rsidR="00E9708B" w:rsidRPr="00E9708B">
        <w:rPr>
          <w:rFonts w:ascii="Open Sans" w:hAnsi="Open Sans" w:cs="Open Sans"/>
          <w:sz w:val="20"/>
          <w:szCs w:val="20"/>
          <w:shd w:val="clear" w:color="auto" w:fill="FFFFFF"/>
        </w:rPr>
        <w:t>I, conforme aditado</w:t>
      </w:r>
      <w:r w:rsidR="00514815" w:rsidRPr="00E9708B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="00514815" w:rsidRPr="00E9708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Termo de Securitização</w:t>
      </w:r>
      <w:r w:rsidR="00514815" w:rsidRPr="00E9708B">
        <w:rPr>
          <w:rFonts w:ascii="Open Sans" w:hAnsi="Open Sans" w:cs="Open Sans"/>
          <w:sz w:val="20"/>
          <w:szCs w:val="20"/>
          <w:shd w:val="clear" w:color="auto" w:fill="FFFFFF"/>
        </w:rPr>
        <w:t>”)</w:t>
      </w:r>
      <w:r w:rsidR="0013284A" w:rsidRPr="00E9708B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D67246C" w14:textId="13991641" w:rsidR="004B021A" w:rsidRPr="004B021A" w:rsidRDefault="004B021A" w:rsidP="00EA3F11">
      <w:pPr>
        <w:pStyle w:val="Estilo"/>
        <w:pBdr>
          <w:bottom w:val="single" w:sz="12" w:space="0" w:color="auto"/>
        </w:pBdr>
        <w:spacing w:before="280" w:after="140" w:line="290" w:lineRule="auto"/>
        <w:jc w:val="center"/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</w:pPr>
      <w:r w:rsidRPr="00C74E26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As orientações de preenchimento e de envio estão descritas ao final desta </w:t>
      </w:r>
      <w:r w:rsidR="0013284A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Instrução de Voto</w:t>
      </w: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6C8EB169" w14:textId="77777777" w:rsidR="004B021A" w:rsidRPr="00C74E26" w:rsidRDefault="004B021A" w:rsidP="009C643A">
      <w:pPr>
        <w:pStyle w:val="Estilo"/>
        <w:pBdr>
          <w:bottom w:val="single" w:sz="12" w:space="0" w:color="auto"/>
        </w:pBdr>
        <w:spacing w:before="280" w:after="140" w:line="290" w:lineRule="auto"/>
        <w:contextualSpacing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B1F2714" w14:textId="72C4F3A2" w:rsidR="00FB0D24" w:rsidRPr="00896F3A" w:rsidRDefault="00FB0D24" w:rsidP="00896F3A">
      <w:pPr>
        <w:pStyle w:val="Estilo"/>
        <w:spacing w:before="280" w:after="140" w:line="290" w:lineRule="auto"/>
        <w:jc w:val="center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</w:t>
      </w:r>
    </w:p>
    <w:p w14:paraId="0F42668F" w14:textId="1B1DEACD" w:rsidR="009A11DC" w:rsidRDefault="0057384D" w:rsidP="00896F3A">
      <w:pPr>
        <w:pStyle w:val="PargrafodaLista"/>
        <w:numPr>
          <w:ilvl w:val="0"/>
          <w:numId w:val="13"/>
        </w:numPr>
        <w:spacing w:before="280" w:after="140" w:line="290" w:lineRule="auto"/>
        <w:ind w:left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</w:t>
      </w:r>
      <w:r w:rsidR="00827889">
        <w:rPr>
          <w:rFonts w:ascii="Open Sans" w:hAnsi="Open Sans" w:cs="Open Sans"/>
          <w:sz w:val="20"/>
          <w:szCs w:val="20"/>
        </w:rPr>
        <w:t>prova</w:t>
      </w:r>
      <w:r w:rsidR="00295FF2">
        <w:rPr>
          <w:rFonts w:ascii="Open Sans" w:hAnsi="Open Sans" w:cs="Open Sans"/>
          <w:sz w:val="20"/>
          <w:szCs w:val="20"/>
        </w:rPr>
        <w:t xml:space="preserve">r </w:t>
      </w:r>
      <w:r w:rsidR="00827889">
        <w:rPr>
          <w:rFonts w:ascii="Open Sans" w:hAnsi="Open Sans" w:cs="Open Sans"/>
          <w:sz w:val="20"/>
          <w:szCs w:val="20"/>
        </w:rPr>
        <w:t xml:space="preserve">a adoção, pela Securitizadora, do procedimento </w:t>
      </w:r>
      <w:r w:rsidR="00827889">
        <w:rPr>
          <w:rFonts w:ascii="Open Sans" w:hAnsi="Open Sans" w:cs="Open Sans"/>
          <w:color w:val="000000" w:themeColor="text1"/>
          <w:sz w:val="20"/>
          <w:szCs w:val="20"/>
        </w:rPr>
        <w:t xml:space="preserve">previsto no </w:t>
      </w:r>
      <w:r w:rsidR="003A1437">
        <w:rPr>
          <w:rFonts w:ascii="Open Sans" w:hAnsi="Open Sans" w:cs="Open Sans"/>
          <w:color w:val="000000" w:themeColor="text1"/>
          <w:sz w:val="20"/>
          <w:szCs w:val="20"/>
        </w:rPr>
        <w:t>“</w:t>
      </w:r>
      <w:r w:rsidR="00BF1787" w:rsidRPr="00BF1787">
        <w:rPr>
          <w:rFonts w:ascii="Open Sans" w:hAnsi="Open Sans" w:cs="Open Sans"/>
          <w:color w:val="000000" w:themeColor="text1"/>
          <w:sz w:val="20"/>
          <w:szCs w:val="20"/>
        </w:rPr>
        <w:t>Anexo I</w:t>
      </w:r>
      <w:r w:rsidR="003A1437">
        <w:rPr>
          <w:rFonts w:ascii="Open Sans" w:hAnsi="Open Sans" w:cs="Open Sans"/>
          <w:color w:val="000000" w:themeColor="text1"/>
          <w:sz w:val="20"/>
          <w:szCs w:val="20"/>
        </w:rPr>
        <w:t>”</w:t>
      </w:r>
      <w:r w:rsidR="00BF1787" w:rsidRPr="00BF1787">
        <w:rPr>
          <w:rFonts w:ascii="Open Sans" w:hAnsi="Open Sans" w:cs="Open Sans"/>
          <w:color w:val="000000" w:themeColor="text1"/>
          <w:sz w:val="20"/>
          <w:szCs w:val="20"/>
        </w:rPr>
        <w:t xml:space="preserve"> ao </w:t>
      </w:r>
      <w:r w:rsidR="00BF1787">
        <w:rPr>
          <w:rFonts w:ascii="Open Sans" w:hAnsi="Open Sans" w:cs="Open Sans"/>
          <w:color w:val="000000" w:themeColor="text1"/>
          <w:sz w:val="20"/>
          <w:szCs w:val="20"/>
        </w:rPr>
        <w:t>edital</w:t>
      </w:r>
      <w:r w:rsidR="003A1437">
        <w:rPr>
          <w:rFonts w:ascii="Open Sans" w:hAnsi="Open Sans" w:cs="Open Sans"/>
          <w:color w:val="000000" w:themeColor="text1"/>
          <w:sz w:val="20"/>
          <w:szCs w:val="20"/>
        </w:rPr>
        <w:t xml:space="preserve"> de convocação</w:t>
      </w:r>
      <w:r w:rsidR="009A11DC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3A1437">
        <w:rPr>
          <w:rFonts w:ascii="Open Sans" w:hAnsi="Open Sans" w:cs="Open Sans"/>
          <w:color w:val="000000" w:themeColor="text1"/>
          <w:sz w:val="20"/>
          <w:szCs w:val="20"/>
        </w:rPr>
        <w:t xml:space="preserve"> publicado </w:t>
      </w:r>
      <w:r w:rsidR="00020A3F" w:rsidRPr="00A03808">
        <w:rPr>
          <w:rFonts w:ascii="Open Sans" w:hAnsi="Open Sans" w:cs="Open Sans"/>
          <w:bCs/>
          <w:iCs/>
          <w:color w:val="000000" w:themeColor="text1"/>
          <w:sz w:val="20"/>
          <w:szCs w:val="20"/>
        </w:rPr>
        <w:t xml:space="preserve">no jornal O Dia, nos dias </w:t>
      </w:r>
      <w:r w:rsidR="00455FD0">
        <w:rPr>
          <w:rFonts w:ascii="Open Sans" w:hAnsi="Open Sans" w:cs="Open Sans"/>
          <w:bCs/>
          <w:iCs/>
          <w:color w:val="000000" w:themeColor="text1"/>
          <w:sz w:val="20"/>
          <w:szCs w:val="20"/>
        </w:rPr>
        <w:t>09</w:t>
      </w:r>
      <w:r w:rsidR="00020A3F" w:rsidRPr="00A03808">
        <w:rPr>
          <w:rFonts w:ascii="Open Sans" w:hAnsi="Open Sans" w:cs="Open Sans"/>
          <w:bCs/>
          <w:iCs/>
          <w:color w:val="000000" w:themeColor="text1"/>
          <w:sz w:val="20"/>
          <w:szCs w:val="20"/>
        </w:rPr>
        <w:t>,</w:t>
      </w:r>
      <w:r w:rsidR="00455FD0">
        <w:rPr>
          <w:rFonts w:ascii="Open Sans" w:hAnsi="Open Sans" w:cs="Open Sans"/>
          <w:bCs/>
          <w:iCs/>
          <w:color w:val="000000" w:themeColor="text1"/>
          <w:sz w:val="20"/>
          <w:szCs w:val="20"/>
        </w:rPr>
        <w:t xml:space="preserve"> 10</w:t>
      </w:r>
      <w:r w:rsidR="00020A3F" w:rsidRPr="00A03808">
        <w:rPr>
          <w:rFonts w:ascii="Open Sans" w:hAnsi="Open Sans" w:cs="Open Sans"/>
          <w:bCs/>
          <w:iCs/>
          <w:color w:val="000000" w:themeColor="text1"/>
          <w:sz w:val="20"/>
          <w:szCs w:val="20"/>
        </w:rPr>
        <w:t xml:space="preserve"> e </w:t>
      </w:r>
      <w:r w:rsidR="00455FD0">
        <w:rPr>
          <w:rFonts w:ascii="Open Sans" w:hAnsi="Open Sans" w:cs="Open Sans"/>
          <w:bCs/>
          <w:iCs/>
          <w:color w:val="000000" w:themeColor="text1"/>
          <w:sz w:val="20"/>
          <w:szCs w:val="20"/>
        </w:rPr>
        <w:t>11</w:t>
      </w:r>
      <w:r w:rsidR="00020A3F" w:rsidRPr="00A03808">
        <w:rPr>
          <w:rFonts w:ascii="Open Sans" w:hAnsi="Open Sans" w:cs="Open Sans"/>
          <w:bCs/>
          <w:iCs/>
          <w:color w:val="000000" w:themeColor="text1"/>
          <w:sz w:val="20"/>
          <w:szCs w:val="20"/>
        </w:rPr>
        <w:t xml:space="preserve"> de</w:t>
      </w:r>
      <w:r w:rsidR="00020A3F">
        <w:rPr>
          <w:rFonts w:ascii="Open Sans" w:hAnsi="Open Sans" w:cs="Open Sans"/>
          <w:bCs/>
          <w:iCs/>
          <w:color w:val="000000" w:themeColor="text1"/>
          <w:sz w:val="20"/>
          <w:szCs w:val="20"/>
        </w:rPr>
        <w:t xml:space="preserve"> </w:t>
      </w:r>
      <w:r w:rsidR="00455FD0">
        <w:rPr>
          <w:rFonts w:ascii="Open Sans" w:hAnsi="Open Sans" w:cs="Open Sans"/>
          <w:bCs/>
          <w:iCs/>
          <w:color w:val="000000" w:themeColor="text1"/>
          <w:sz w:val="20"/>
          <w:szCs w:val="20"/>
        </w:rPr>
        <w:t>abril de 2025</w:t>
      </w:r>
      <w:r w:rsidR="00020A3F">
        <w:rPr>
          <w:rFonts w:ascii="Open Sans" w:hAnsi="Open Sans" w:cs="Open Sans"/>
          <w:bCs/>
          <w:iCs/>
          <w:color w:val="000000" w:themeColor="text1"/>
          <w:sz w:val="20"/>
          <w:szCs w:val="20"/>
        </w:rPr>
        <w:t xml:space="preserve"> </w:t>
      </w:r>
      <w:r w:rsidR="009A11DC">
        <w:rPr>
          <w:rFonts w:ascii="Open Sans" w:hAnsi="Open Sans" w:cs="Open Sans"/>
          <w:color w:val="000000" w:themeColor="text1"/>
          <w:sz w:val="20"/>
          <w:szCs w:val="20"/>
        </w:rPr>
        <w:t>(“</w:t>
      </w:r>
      <w:r w:rsidR="009A11DC" w:rsidRPr="009A11DC">
        <w:rPr>
          <w:rFonts w:ascii="Open Sans" w:hAnsi="Open Sans" w:cs="Open Sans"/>
          <w:color w:val="000000" w:themeColor="text1"/>
          <w:sz w:val="20"/>
          <w:szCs w:val="20"/>
          <w:u w:val="single"/>
        </w:rPr>
        <w:t>Edital de Convocação</w:t>
      </w:r>
      <w:r w:rsidR="009A11DC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="00BF1787" w:rsidRPr="00BF1787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CD5627">
        <w:rPr>
          <w:rFonts w:ascii="Open Sans" w:hAnsi="Open Sans" w:cs="Open Sans"/>
          <w:sz w:val="20"/>
          <w:szCs w:val="20"/>
        </w:rPr>
        <w:t xml:space="preserve">referente ao aporte de </w:t>
      </w:r>
      <w:r w:rsidR="000A51C9">
        <w:rPr>
          <w:rFonts w:ascii="Open Sans" w:hAnsi="Open Sans" w:cs="Open Sans"/>
          <w:sz w:val="20"/>
          <w:szCs w:val="20"/>
        </w:rPr>
        <w:t>R$ 234.426,55 (d</w:t>
      </w:r>
      <w:r w:rsidR="000A51C9" w:rsidRPr="00A3592C">
        <w:rPr>
          <w:rFonts w:ascii="Open Sans" w:hAnsi="Open Sans" w:cs="Open Sans"/>
          <w:sz w:val="20"/>
          <w:szCs w:val="20"/>
        </w:rPr>
        <w:t>uzentos e trinta e quatro mil, quatrocentos e vinte e seis reais e cinquenta e cinco centavos</w:t>
      </w:r>
      <w:r w:rsidR="000A51C9">
        <w:rPr>
          <w:rFonts w:ascii="Open Sans" w:hAnsi="Open Sans" w:cs="Open Sans"/>
          <w:sz w:val="20"/>
          <w:szCs w:val="20"/>
        </w:rPr>
        <w:t>)</w:t>
      </w:r>
      <w:r w:rsidR="00CD5627">
        <w:rPr>
          <w:rFonts w:ascii="Open Sans" w:hAnsi="Open Sans" w:cs="Open Sans"/>
          <w:sz w:val="20"/>
          <w:szCs w:val="20"/>
        </w:rPr>
        <w:t xml:space="preserve">, pelos Titulares dos CRI, diante de insuficiência de recursos no caixa do Patrimônio Separado, </w:t>
      </w:r>
      <w:r w:rsidR="00CD5627" w:rsidRPr="000D1317">
        <w:rPr>
          <w:rFonts w:ascii="Open Sans" w:hAnsi="Open Sans" w:cs="Open Sans"/>
          <w:bCs/>
          <w:color w:val="000000" w:themeColor="text1"/>
          <w:sz w:val="20"/>
          <w:szCs w:val="20"/>
        </w:rPr>
        <w:t>para fazer frente às Despesas</w:t>
      </w:r>
      <w:r w:rsidR="00CD5627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, </w:t>
      </w:r>
      <w:r w:rsidR="00CD5627" w:rsidRPr="000D1317">
        <w:rPr>
          <w:rFonts w:ascii="Open Sans" w:hAnsi="Open Sans" w:cs="Open Sans"/>
          <w:bCs/>
          <w:color w:val="000000" w:themeColor="text1"/>
          <w:sz w:val="20"/>
          <w:szCs w:val="20"/>
        </w:rPr>
        <w:t>dispostas</w:t>
      </w:r>
      <w:r w:rsidR="00CD5627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 no Termo de Securitização, ou àquelas decorrentes da cobrança, judicial e/ou extrajudicial, das obrigações devidas pelo Cedente e pelos Fiadores</w:t>
      </w:r>
      <w:r w:rsidR="00CD5627" w:rsidRPr="000D1317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, </w:t>
      </w:r>
      <w:r w:rsidR="00CD5627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bem como àquelas necessárias à preservação, recuperação e/ou liquidação do Patrimônio </w:t>
      </w:r>
      <w:r w:rsidR="00CD5627">
        <w:rPr>
          <w:rFonts w:ascii="Open Sans" w:hAnsi="Open Sans" w:cs="Open Sans"/>
          <w:bCs/>
          <w:color w:val="000000" w:themeColor="text1"/>
          <w:sz w:val="20"/>
          <w:szCs w:val="20"/>
        </w:rPr>
        <w:lastRenderedPageBreak/>
        <w:t xml:space="preserve">Separado, </w:t>
      </w:r>
      <w:r w:rsidR="00CD5627">
        <w:rPr>
          <w:rFonts w:ascii="Open Sans" w:hAnsi="Open Sans" w:cs="Open Sans"/>
          <w:sz w:val="20"/>
          <w:szCs w:val="20"/>
        </w:rPr>
        <w:t>conforme previsto na Cláusula 14.3 do Termo de Securitização (“</w:t>
      </w:r>
      <w:r w:rsidR="00CD5627" w:rsidRPr="00A03808">
        <w:rPr>
          <w:rFonts w:ascii="Open Sans" w:hAnsi="Open Sans" w:cs="Open Sans"/>
          <w:sz w:val="20"/>
          <w:szCs w:val="20"/>
          <w:u w:val="single"/>
        </w:rPr>
        <w:t xml:space="preserve">Procedimento de </w:t>
      </w:r>
      <w:r w:rsidR="00CD5627">
        <w:rPr>
          <w:rFonts w:ascii="Open Sans" w:hAnsi="Open Sans" w:cs="Open Sans"/>
          <w:sz w:val="20"/>
          <w:szCs w:val="20"/>
          <w:u w:val="single"/>
        </w:rPr>
        <w:t>Aporte</w:t>
      </w:r>
      <w:r w:rsidR="00CD5627">
        <w:rPr>
          <w:rFonts w:ascii="Open Sans" w:hAnsi="Open Sans" w:cs="Open Sans"/>
          <w:sz w:val="20"/>
          <w:szCs w:val="20"/>
        </w:rPr>
        <w:t>”)</w:t>
      </w:r>
      <w:r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BD34747" w14:textId="5917EC78" w:rsidR="00CF78BE" w:rsidRPr="00C74E26" w:rsidRDefault="00CF78BE" w:rsidP="003621F6">
      <w:pPr>
        <w:widowControl w:val="0"/>
        <w:autoSpaceDE w:val="0"/>
        <w:autoSpaceDN w:val="0"/>
        <w:adjustRightInd w:val="0"/>
        <w:spacing w:before="280" w:after="140" w:line="290" w:lineRule="auto"/>
        <w:jc w:val="center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Pr="00C74E26" w:rsidRDefault="00B15C01" w:rsidP="003621F6">
      <w:pPr>
        <w:pStyle w:val="Estilo"/>
        <w:pBdr>
          <w:bottom w:val="single" w:sz="4" w:space="1" w:color="auto"/>
        </w:pBdr>
        <w:spacing w:before="280" w:after="140" w:line="290" w:lineRule="auto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E2A262E" w14:textId="161EAA03" w:rsidR="00876B4F" w:rsidRPr="00876B4F" w:rsidRDefault="00D47FE1" w:rsidP="00876B4F">
      <w:pPr>
        <w:pStyle w:val="PargrafodaLista"/>
        <w:numPr>
          <w:ilvl w:val="0"/>
          <w:numId w:val="13"/>
        </w:numPr>
        <w:spacing w:before="280" w:after="140" w:line="290" w:lineRule="auto"/>
        <w:ind w:left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Aprovar a modificação da Ordem de Pagamentos prevista na Cláusula 8.17 do Termo de Securitização, para que passe a vigorar conforme redação estabelecida no </w:t>
      </w:r>
      <w:r w:rsidR="0057384D" w:rsidRPr="005B425D">
        <w:rPr>
          <w:rFonts w:ascii="Open Sans" w:hAnsi="Open Sans" w:cs="Open Sans"/>
          <w:sz w:val="20"/>
          <w:szCs w:val="20"/>
          <w:u w:val="single"/>
        </w:rPr>
        <w:t xml:space="preserve">Anexo </w:t>
      </w:r>
      <w:r w:rsidR="0057384D">
        <w:rPr>
          <w:rFonts w:ascii="Open Sans" w:hAnsi="Open Sans" w:cs="Open Sans"/>
          <w:sz w:val="20"/>
          <w:szCs w:val="20"/>
          <w:u w:val="single"/>
        </w:rPr>
        <w:t>II</w:t>
      </w:r>
      <w:r w:rsidR="0057384D" w:rsidRPr="005B425D">
        <w:rPr>
          <w:rFonts w:ascii="Open Sans" w:hAnsi="Open Sans" w:cs="Open Sans"/>
          <w:sz w:val="20"/>
          <w:szCs w:val="20"/>
        </w:rPr>
        <w:t xml:space="preserve"> </w:t>
      </w:r>
      <w:r w:rsidR="0057384D">
        <w:rPr>
          <w:rFonts w:ascii="Open Sans" w:hAnsi="Open Sans" w:cs="Open Sans"/>
          <w:sz w:val="20"/>
          <w:szCs w:val="20"/>
        </w:rPr>
        <w:t>ao Edital de Convocação.</w:t>
      </w:r>
    </w:p>
    <w:p w14:paraId="2EBC2809" w14:textId="101358EB" w:rsidR="00CC2561" w:rsidRPr="00C74E26" w:rsidRDefault="00CC2561" w:rsidP="00A93703">
      <w:pPr>
        <w:widowControl w:val="0"/>
        <w:autoSpaceDE w:val="0"/>
        <w:autoSpaceDN w:val="0"/>
        <w:adjustRightInd w:val="0"/>
        <w:spacing w:before="280" w:after="140" w:line="290" w:lineRule="auto"/>
        <w:jc w:val="center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2E7BBD7" w14:textId="77777777" w:rsidR="00C76229" w:rsidRPr="00C74E26" w:rsidRDefault="00C76229" w:rsidP="00C74E26">
      <w:pPr>
        <w:pStyle w:val="Estilo"/>
        <w:pBdr>
          <w:bottom w:val="single" w:sz="4" w:space="1" w:color="auto"/>
        </w:pBdr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D80F5BB" w14:textId="24AC537A" w:rsidR="003A233D" w:rsidRPr="00B67E5B" w:rsidRDefault="004978D9" w:rsidP="00B67E5B">
      <w:pPr>
        <w:pStyle w:val="PargrafodaLista"/>
        <w:numPr>
          <w:ilvl w:val="0"/>
          <w:numId w:val="13"/>
        </w:numPr>
        <w:spacing w:before="280" w:after="140" w:line="290" w:lineRule="auto"/>
        <w:ind w:left="709" w:hanging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</w:t>
      </w:r>
      <w:r w:rsidRPr="00947E13">
        <w:rPr>
          <w:rFonts w:ascii="Open Sans" w:hAnsi="Open Sans" w:cs="Open Sans"/>
          <w:sz w:val="20"/>
          <w:szCs w:val="20"/>
        </w:rPr>
        <w:t>utoriza</w:t>
      </w:r>
      <w:r w:rsidR="00295FF2">
        <w:rPr>
          <w:rFonts w:ascii="Open Sans" w:hAnsi="Open Sans" w:cs="Open Sans"/>
          <w:sz w:val="20"/>
          <w:szCs w:val="20"/>
        </w:rPr>
        <w:t>r</w:t>
      </w:r>
      <w:r w:rsidRPr="00947E13">
        <w:rPr>
          <w:rFonts w:ascii="Open Sans" w:hAnsi="Open Sans" w:cs="Open Sans"/>
          <w:sz w:val="20"/>
          <w:szCs w:val="20"/>
        </w:rPr>
        <w:t xml:space="preserve"> que a Securitizadora e o Agente Fiduciário pratiquem todo e qualquer ato, celebrem todos e quaisquer contratos, aditamentos ou documentos necessários para a efetivação e implementação das matérias constantes da </w:t>
      </w:r>
      <w:r>
        <w:rPr>
          <w:rFonts w:ascii="Open Sans" w:hAnsi="Open Sans" w:cs="Open Sans"/>
          <w:sz w:val="20"/>
          <w:szCs w:val="20"/>
        </w:rPr>
        <w:t>o</w:t>
      </w:r>
      <w:r w:rsidRPr="00947E13">
        <w:rPr>
          <w:rFonts w:ascii="Open Sans" w:hAnsi="Open Sans" w:cs="Open Sans"/>
          <w:sz w:val="20"/>
          <w:szCs w:val="20"/>
        </w:rPr>
        <w:t xml:space="preserve">rdem do </w:t>
      </w:r>
      <w:r>
        <w:rPr>
          <w:rFonts w:ascii="Open Sans" w:hAnsi="Open Sans" w:cs="Open Sans"/>
          <w:sz w:val="20"/>
          <w:szCs w:val="20"/>
        </w:rPr>
        <w:t>d</w:t>
      </w:r>
      <w:r w:rsidRPr="00947E13">
        <w:rPr>
          <w:rFonts w:ascii="Open Sans" w:hAnsi="Open Sans" w:cs="Open Sans"/>
          <w:sz w:val="20"/>
          <w:szCs w:val="20"/>
        </w:rPr>
        <w:t xml:space="preserve">ia </w:t>
      </w:r>
      <w:r w:rsidR="00A942A7">
        <w:rPr>
          <w:rFonts w:ascii="Open Sans" w:hAnsi="Open Sans" w:cs="Open Sans"/>
          <w:sz w:val="20"/>
          <w:szCs w:val="20"/>
        </w:rPr>
        <w:t>do Edital de Convocação (“</w:t>
      </w:r>
      <w:r w:rsidR="00A942A7" w:rsidRPr="00A942A7">
        <w:rPr>
          <w:rFonts w:ascii="Open Sans" w:hAnsi="Open Sans" w:cs="Open Sans"/>
          <w:sz w:val="20"/>
          <w:szCs w:val="20"/>
          <w:u w:val="single"/>
        </w:rPr>
        <w:t>Ordem do Dia</w:t>
      </w:r>
      <w:r w:rsidR="00A942A7">
        <w:rPr>
          <w:rFonts w:ascii="Open Sans" w:hAnsi="Open Sans" w:cs="Open Sans"/>
          <w:sz w:val="20"/>
          <w:szCs w:val="20"/>
        </w:rPr>
        <w:t xml:space="preserve">”) </w:t>
      </w:r>
      <w:r w:rsidRPr="00947E13">
        <w:rPr>
          <w:rFonts w:ascii="Open Sans" w:hAnsi="Open Sans" w:cs="Open Sans"/>
          <w:sz w:val="20"/>
          <w:szCs w:val="20"/>
        </w:rPr>
        <w:t>nos Documentos da Operação</w:t>
      </w:r>
      <w:r w:rsidR="00246215" w:rsidRPr="00B67E5B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4AD98FE6" w14:textId="77777777" w:rsidR="00380E67" w:rsidRPr="00C74E26" w:rsidRDefault="00380E67" w:rsidP="004E0603">
      <w:pPr>
        <w:widowControl w:val="0"/>
        <w:autoSpaceDE w:val="0"/>
        <w:autoSpaceDN w:val="0"/>
        <w:adjustRightInd w:val="0"/>
        <w:spacing w:before="280" w:after="140" w:line="290" w:lineRule="auto"/>
        <w:jc w:val="center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9CC3762" w14:textId="77777777" w:rsidR="00380E67" w:rsidRPr="00C74E26" w:rsidRDefault="00380E67" w:rsidP="00C74E26">
      <w:pPr>
        <w:pStyle w:val="Estilo"/>
        <w:pBdr>
          <w:bottom w:val="single" w:sz="4" w:space="1" w:color="auto"/>
        </w:pBdr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6F2635F" w14:textId="77777777" w:rsidR="00892468" w:rsidRDefault="00892468" w:rsidP="00FC1DD0">
      <w:pPr>
        <w:spacing w:before="280" w:after="140" w:line="290" w:lineRule="auto"/>
        <w:jc w:val="center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EA3F11" w:rsidRPr="00C74E26" w14:paraId="17D6FEE2" w14:textId="77777777" w:rsidTr="00230ED8">
        <w:trPr>
          <w:trHeight w:val="127"/>
        </w:trPr>
        <w:tc>
          <w:tcPr>
            <w:tcW w:w="3261" w:type="dxa"/>
            <w:vAlign w:val="center"/>
          </w:tcPr>
          <w:p w14:paraId="44688FFC" w14:textId="77777777" w:rsidR="00EA3F11" w:rsidRPr="00C74E26" w:rsidRDefault="00EA3F11" w:rsidP="00230ED8">
            <w:pPr>
              <w:pStyle w:val="Estilo"/>
              <w:spacing w:line="290" w:lineRule="auto"/>
              <w:rPr>
                <w:rFonts w:ascii="Open Sans" w:hAnsi="Open Sans" w:cs="Open Sans"/>
                <w:shd w:val="clear" w:color="auto" w:fill="FFFFFF"/>
              </w:rPr>
            </w:pPr>
            <w:r>
              <w:rPr>
                <w:rFonts w:ascii="Open Sans" w:hAnsi="Open Sans" w:cs="Open Sans"/>
                <w:shd w:val="clear" w:color="auto" w:fill="FFFFFF"/>
              </w:rPr>
              <w:t>Local:</w:t>
            </w:r>
          </w:p>
        </w:tc>
        <w:tc>
          <w:tcPr>
            <w:tcW w:w="5811" w:type="dxa"/>
            <w:vAlign w:val="center"/>
          </w:tcPr>
          <w:p w14:paraId="7A688C30" w14:textId="77777777" w:rsidR="00EA3F11" w:rsidRPr="00C74E26" w:rsidRDefault="00EA3F11" w:rsidP="00230ED8">
            <w:pPr>
              <w:pStyle w:val="Estilo"/>
              <w:spacing w:line="290" w:lineRule="auto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EA3F11" w:rsidRPr="00C74E26" w14:paraId="1107BBA5" w14:textId="77777777" w:rsidTr="00230ED8">
        <w:tc>
          <w:tcPr>
            <w:tcW w:w="3261" w:type="dxa"/>
            <w:vAlign w:val="center"/>
          </w:tcPr>
          <w:p w14:paraId="2DFCD7E1" w14:textId="77777777" w:rsidR="00EA3F11" w:rsidRPr="00C74E26" w:rsidRDefault="00EA3F11" w:rsidP="00230ED8">
            <w:pPr>
              <w:pStyle w:val="Estilo"/>
              <w:spacing w:line="290" w:lineRule="auto"/>
              <w:rPr>
                <w:rFonts w:ascii="Open Sans" w:hAnsi="Open Sans" w:cs="Open Sans"/>
                <w:shd w:val="clear" w:color="auto" w:fill="FFFFFF"/>
              </w:rPr>
            </w:pPr>
            <w:r>
              <w:rPr>
                <w:rFonts w:ascii="Open Sans" w:hAnsi="Open Sans" w:cs="Open Sans"/>
                <w:shd w:val="clear" w:color="auto" w:fill="FFFFFF"/>
              </w:rPr>
              <w:t>Data:</w:t>
            </w:r>
          </w:p>
        </w:tc>
        <w:tc>
          <w:tcPr>
            <w:tcW w:w="5811" w:type="dxa"/>
            <w:vAlign w:val="center"/>
          </w:tcPr>
          <w:p w14:paraId="57F299EB" w14:textId="77777777" w:rsidR="00EA3F11" w:rsidRPr="00C74E26" w:rsidRDefault="00EA3F11" w:rsidP="00230ED8">
            <w:pPr>
              <w:pStyle w:val="Estilo"/>
              <w:spacing w:line="290" w:lineRule="auto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EA3F11" w:rsidRPr="00C74E26" w14:paraId="5AF144B8" w14:textId="77777777" w:rsidTr="00230ED8">
        <w:tc>
          <w:tcPr>
            <w:tcW w:w="3261" w:type="dxa"/>
            <w:vAlign w:val="center"/>
          </w:tcPr>
          <w:p w14:paraId="70B6524D" w14:textId="77777777" w:rsidR="00EA3F11" w:rsidRPr="00F85126" w:rsidRDefault="00EA3F11" w:rsidP="00230ED8">
            <w:pPr>
              <w:pStyle w:val="Estilo"/>
              <w:spacing w:line="290" w:lineRule="auto"/>
              <w:rPr>
                <w:rFonts w:ascii="Open Sans" w:hAnsi="Open Sans" w:cs="Open Sans"/>
                <w:shd w:val="clear" w:color="auto" w:fill="FFFFFF"/>
              </w:rPr>
            </w:pPr>
            <w:r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</w:tc>
        <w:tc>
          <w:tcPr>
            <w:tcW w:w="5811" w:type="dxa"/>
            <w:vAlign w:val="center"/>
          </w:tcPr>
          <w:p w14:paraId="1D803801" w14:textId="77777777" w:rsidR="00EA3F11" w:rsidRPr="00C74E26" w:rsidRDefault="00EA3F11" w:rsidP="00230ED8">
            <w:pPr>
              <w:pStyle w:val="Estilo"/>
              <w:spacing w:line="290" w:lineRule="aut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2F079218" w14:textId="6306CCF9" w:rsidR="00FB0D24" w:rsidRPr="00C74E26" w:rsidRDefault="00FB0D24" w:rsidP="00EA3F11">
      <w:pPr>
        <w:spacing w:before="280" w:after="140" w:line="290" w:lineRule="auto"/>
        <w:jc w:val="center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7F644084" w14:textId="6FDF3BFB" w:rsidR="00AC51E1" w:rsidRPr="00C74E26" w:rsidRDefault="00FB0D24" w:rsidP="00C74E26">
      <w:pPr>
        <w:pStyle w:val="Estilo"/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</w:t>
      </w:r>
      <w:r w:rsidR="00D627E2">
        <w:rPr>
          <w:rFonts w:ascii="Open Sans" w:hAnsi="Open Sans" w:cs="Open Sans"/>
          <w:sz w:val="20"/>
          <w:szCs w:val="20"/>
          <w:shd w:val="clear" w:color="auto" w:fill="FFFFFF"/>
        </w:rPr>
        <w:t>os</w:t>
      </w: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 xml:space="preserve"> CR</w:t>
      </w:r>
      <w:r w:rsidR="00D627E2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C74E26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</w:t>
      </w:r>
      <w:r w:rsidR="00D627E2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os</w:t>
      </w:r>
      <w:r w:rsidRPr="00C74E26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 xml:space="preserve"> CR</w:t>
      </w:r>
      <w:r w:rsidR="00D627E2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 w:rsidRPr="00C74E26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C74E26">
        <w:rPr>
          <w:rFonts w:ascii="Open Sans" w:hAnsi="Open Sans" w:cs="Open Sans"/>
          <w:sz w:val="20"/>
          <w:szCs w:val="20"/>
          <w:shd w:val="clear" w:color="auto" w:fill="FFFFFF"/>
        </w:rPr>
        <w:t xml:space="preserve">da Resolução </w:t>
      </w:r>
      <w:r w:rsidR="001E52CC">
        <w:rPr>
          <w:rFonts w:ascii="Open Sans" w:hAnsi="Open Sans" w:cs="Open Sans"/>
          <w:sz w:val="20"/>
          <w:szCs w:val="20"/>
          <w:shd w:val="clear" w:color="auto" w:fill="FFFFFF"/>
        </w:rPr>
        <w:t>n.º</w:t>
      </w:r>
      <w:r w:rsidR="00A1394D" w:rsidRPr="00C74E26">
        <w:rPr>
          <w:rFonts w:ascii="Open Sans" w:hAnsi="Open Sans" w:cs="Open Sans"/>
          <w:sz w:val="20"/>
          <w:szCs w:val="20"/>
          <w:shd w:val="clear" w:color="auto" w:fill="FFFFFF"/>
        </w:rPr>
        <w:t xml:space="preserve"> 60</w:t>
      </w:r>
      <w:r w:rsidR="001E52CC">
        <w:rPr>
          <w:rFonts w:ascii="Open Sans" w:hAnsi="Open Sans" w:cs="Open Sans"/>
          <w:sz w:val="20"/>
          <w:szCs w:val="20"/>
          <w:shd w:val="clear" w:color="auto" w:fill="FFFFFF"/>
        </w:rPr>
        <w:t xml:space="preserve">, da CVM, de </w:t>
      </w:r>
      <w:r w:rsidR="00682720">
        <w:rPr>
          <w:rFonts w:ascii="Open Sans" w:hAnsi="Open Sans" w:cs="Open Sans"/>
          <w:sz w:val="20"/>
          <w:szCs w:val="20"/>
          <w:shd w:val="clear" w:color="auto" w:fill="FFFFFF"/>
        </w:rPr>
        <w:t>23 de dezembro de 2021</w:t>
      </w:r>
      <w:r w:rsidR="007A245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="007A245C" w:rsidRPr="007A245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Resolução CVM 60</w:t>
      </w:r>
      <w:r w:rsidR="007A245C">
        <w:rPr>
          <w:rFonts w:ascii="Open Sans" w:hAnsi="Open Sans" w:cs="Open Sans"/>
          <w:sz w:val="20"/>
          <w:szCs w:val="20"/>
          <w:shd w:val="clear" w:color="auto" w:fill="FFFFFF"/>
        </w:rPr>
        <w:t>”)</w:t>
      </w:r>
      <w:r w:rsidR="00682720">
        <w:rPr>
          <w:rFonts w:ascii="Open Sans" w:hAnsi="Open Sans" w:cs="Open Sans"/>
          <w:sz w:val="20"/>
          <w:szCs w:val="20"/>
          <w:shd w:val="clear" w:color="auto" w:fill="FFFFFF"/>
        </w:rPr>
        <w:t>,</w:t>
      </w:r>
      <w:r w:rsidR="00343E17" w:rsidRPr="00C74E26">
        <w:rPr>
          <w:rFonts w:ascii="Open Sans" w:hAnsi="Open Sans" w:cs="Open Sans"/>
          <w:sz w:val="20"/>
          <w:szCs w:val="20"/>
          <w:shd w:val="clear" w:color="auto" w:fill="FFFFFF"/>
        </w:rPr>
        <w:t xml:space="preserve"> e </w:t>
      </w:r>
      <w:r w:rsidR="00D627E2">
        <w:rPr>
          <w:rFonts w:ascii="Open Sans" w:hAnsi="Open Sans" w:cs="Open Sans"/>
          <w:sz w:val="20"/>
          <w:szCs w:val="20"/>
          <w:shd w:val="clear" w:color="auto" w:fill="FFFFFF"/>
        </w:rPr>
        <w:t xml:space="preserve">de forma supletiva, </w:t>
      </w:r>
      <w:r w:rsidR="00343E17" w:rsidRPr="00C74E26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343E17" w:rsidRPr="00C74E26">
        <w:rPr>
          <w:rFonts w:ascii="Open Sans" w:hAnsi="Open Sans" w:cs="Open Sans"/>
          <w:sz w:val="20"/>
          <w:szCs w:val="20"/>
        </w:rPr>
        <w:t xml:space="preserve">Resolução nº 81, </w:t>
      </w:r>
      <w:r w:rsidR="00682720">
        <w:rPr>
          <w:rFonts w:ascii="Open Sans" w:hAnsi="Open Sans" w:cs="Open Sans"/>
          <w:sz w:val="20"/>
          <w:szCs w:val="20"/>
        </w:rPr>
        <w:t xml:space="preserve">da CVM, </w:t>
      </w:r>
      <w:r w:rsidR="00343E17" w:rsidRPr="00C74E26">
        <w:rPr>
          <w:rFonts w:ascii="Open Sans" w:hAnsi="Open Sans" w:cs="Open Sans"/>
          <w:sz w:val="20"/>
          <w:szCs w:val="20"/>
        </w:rPr>
        <w:t>de 29 de março de 2022</w:t>
      </w:r>
      <w:r w:rsidR="00B4392B">
        <w:rPr>
          <w:rFonts w:ascii="Open Sans" w:hAnsi="Open Sans" w:cs="Open Sans"/>
          <w:sz w:val="20"/>
          <w:szCs w:val="20"/>
        </w:rPr>
        <w:t xml:space="preserve"> (“</w:t>
      </w:r>
      <w:r w:rsidR="00B4392B" w:rsidRPr="00B4392B">
        <w:rPr>
          <w:rFonts w:ascii="Open Sans" w:hAnsi="Open Sans" w:cs="Open Sans"/>
          <w:sz w:val="20"/>
          <w:szCs w:val="20"/>
          <w:u w:val="single"/>
        </w:rPr>
        <w:t>Resolução CVM 81</w:t>
      </w:r>
      <w:r w:rsidR="00B4392B">
        <w:rPr>
          <w:rFonts w:ascii="Open Sans" w:hAnsi="Open Sans" w:cs="Open Sans"/>
          <w:sz w:val="20"/>
          <w:szCs w:val="20"/>
        </w:rPr>
        <w:t>”)</w:t>
      </w:r>
      <w:r w:rsidR="00682720">
        <w:rPr>
          <w:rFonts w:ascii="Open Sans" w:hAnsi="Open Sans" w:cs="Open Sans"/>
          <w:sz w:val="20"/>
          <w:szCs w:val="20"/>
        </w:rPr>
        <w:t>, conforme aplicável</w:t>
      </w:r>
      <w:r w:rsidR="00A1394D" w:rsidRPr="00C74E26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48093763" w14:textId="76168886" w:rsidR="00FB0D24" w:rsidRPr="00C74E26" w:rsidRDefault="00FB0D24" w:rsidP="00C74E26">
      <w:pPr>
        <w:pStyle w:val="Estilo"/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25B01C15" w14:textId="4C136806" w:rsidR="00FC1DD0" w:rsidRDefault="00FB0D24" w:rsidP="00FC1DD0">
      <w:pPr>
        <w:pStyle w:val="Estilo"/>
        <w:numPr>
          <w:ilvl w:val="0"/>
          <w:numId w:val="6"/>
        </w:numPr>
        <w:spacing w:before="280" w:after="140" w:line="290" w:lineRule="auto"/>
        <w:ind w:hanging="72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</w:t>
      </w:r>
      <w:r w:rsidR="00A56007">
        <w:rPr>
          <w:rFonts w:ascii="Open Sans" w:hAnsi="Open Sans" w:cs="Open Sans"/>
          <w:sz w:val="20"/>
          <w:szCs w:val="20"/>
          <w:shd w:val="clear" w:color="auto" w:fill="FFFFFF"/>
        </w:rPr>
        <w:t>os</w:t>
      </w: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 xml:space="preserve"> CR</w:t>
      </w:r>
      <w:r w:rsidR="00A56007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 ou CNPJ,</w:t>
      </w:r>
      <w:r w:rsidR="00FC1DD0">
        <w:rPr>
          <w:rFonts w:ascii="Open Sans" w:hAnsi="Open Sans" w:cs="Open Sans"/>
          <w:sz w:val="20"/>
          <w:szCs w:val="20"/>
          <w:shd w:val="clear" w:color="auto" w:fill="FFFFFF"/>
        </w:rPr>
        <w:t xml:space="preserve"> conforme aplicável,</w:t>
      </w: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 xml:space="preserve"> bem como indicação de endereço eletrônico e telefone para eventuais contatos deverão ser preenchidos; </w:t>
      </w:r>
    </w:p>
    <w:p w14:paraId="0C061022" w14:textId="77777777" w:rsidR="00FC1DD0" w:rsidRDefault="00FB0D24" w:rsidP="00FC1DD0">
      <w:pPr>
        <w:pStyle w:val="Estilo"/>
        <w:numPr>
          <w:ilvl w:val="0"/>
          <w:numId w:val="6"/>
        </w:numPr>
        <w:spacing w:before="280" w:after="140" w:line="290" w:lineRule="auto"/>
        <w:ind w:hanging="72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FC1DD0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o voto deverá ser assinalado apenas em um dos campos (aprovação, rejeição ou abstenção); </w:t>
      </w:r>
    </w:p>
    <w:p w14:paraId="38C93C0B" w14:textId="2370D862" w:rsidR="00FC1DD0" w:rsidRDefault="00FB0D24" w:rsidP="00FC1DD0">
      <w:pPr>
        <w:pStyle w:val="Estilo"/>
        <w:numPr>
          <w:ilvl w:val="0"/>
          <w:numId w:val="6"/>
        </w:numPr>
        <w:spacing w:before="280" w:after="140" w:line="290" w:lineRule="auto"/>
        <w:ind w:hanging="72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FC1DD0">
        <w:rPr>
          <w:rFonts w:ascii="Open Sans" w:hAnsi="Open Sans" w:cs="Open Sans"/>
          <w:sz w:val="20"/>
          <w:szCs w:val="20"/>
          <w:shd w:val="clear" w:color="auto" w:fill="FFFFFF"/>
        </w:rPr>
        <w:t>ao final, o Titular d</w:t>
      </w:r>
      <w:r w:rsidR="00FC1DD0">
        <w:rPr>
          <w:rFonts w:ascii="Open Sans" w:hAnsi="Open Sans" w:cs="Open Sans"/>
          <w:sz w:val="20"/>
          <w:szCs w:val="20"/>
          <w:shd w:val="clear" w:color="auto" w:fill="FFFFFF"/>
        </w:rPr>
        <w:t>os</w:t>
      </w:r>
      <w:r w:rsidRPr="00FC1DD0">
        <w:rPr>
          <w:rFonts w:ascii="Open Sans" w:hAnsi="Open Sans" w:cs="Open Sans"/>
          <w:sz w:val="20"/>
          <w:szCs w:val="20"/>
          <w:shd w:val="clear" w:color="auto" w:fill="FFFFFF"/>
        </w:rPr>
        <w:t xml:space="preserve"> CR</w:t>
      </w:r>
      <w:r w:rsidR="00A56007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FC1DD0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FC1DD0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FC1DD0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FC1DD0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FC1DD0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D56FC01" w14:textId="2C6EFC13" w:rsidR="00FB0D24" w:rsidRDefault="00FB0D24" w:rsidP="00FC1DD0">
      <w:pPr>
        <w:pStyle w:val="Estilo"/>
        <w:numPr>
          <w:ilvl w:val="0"/>
          <w:numId w:val="6"/>
        </w:numPr>
        <w:spacing w:before="280" w:after="140" w:line="290" w:lineRule="auto"/>
        <w:ind w:hanging="72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FC1DD0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7B4B646D" w14:textId="77777777" w:rsidR="000A51C9" w:rsidRDefault="000A51C9" w:rsidP="007F4A0D">
      <w:pPr>
        <w:pStyle w:val="Estilo"/>
        <w:spacing w:before="280" w:after="140" w:line="290" w:lineRule="auto"/>
        <w:jc w:val="both"/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</w:pPr>
    </w:p>
    <w:p w14:paraId="42751546" w14:textId="06295916" w:rsidR="007F4A0D" w:rsidRPr="00B82F70" w:rsidRDefault="007F4A0D" w:rsidP="007F4A0D">
      <w:pPr>
        <w:pStyle w:val="Estilo"/>
        <w:spacing w:before="280" w:after="140" w:line="290" w:lineRule="auto"/>
        <w:jc w:val="both"/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</w:pPr>
      <w:r w:rsidRPr="00B82F70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Conflito de Interesses:</w:t>
      </w:r>
    </w:p>
    <w:p w14:paraId="47D7B552" w14:textId="77777777" w:rsidR="007F4A0D" w:rsidRPr="007F4A0D" w:rsidRDefault="007F4A0D" w:rsidP="007F4A0D">
      <w:pPr>
        <w:pStyle w:val="Estilo"/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F4A0D">
        <w:rPr>
          <w:rFonts w:ascii="Open Sans" w:hAnsi="Open Sans" w:cs="Open Sans"/>
          <w:sz w:val="20"/>
          <w:szCs w:val="20"/>
          <w:shd w:val="clear" w:color="auto" w:fill="FFFFFF"/>
        </w:rPr>
        <w:t>O Agente Fiduciário questiona o Titular de CRI se este tem ciência acerca de qualquer hipótese que poderia ser caracterizada como conflito de interesses em relação das matérias da Ordem do Dia e demais partes da operação, bem como entre partes relacionadas, conforme definição prevista na Resolução CVM 94/2022 – Pronunciamento Técnico CPC 05, bem como no art. 32 da Resolução CVM 60/2021, ao artigo 115 §1º da Lei 6.404/76.</w:t>
      </w:r>
    </w:p>
    <w:p w14:paraId="3FA89E55" w14:textId="77777777" w:rsidR="007F4A0D" w:rsidRDefault="007F4A0D" w:rsidP="007F4A0D">
      <w:pPr>
        <w:pStyle w:val="Estilo"/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F4A0D">
        <w:rPr>
          <w:rFonts w:ascii="Segoe UI Symbol" w:hAnsi="Segoe UI Symbol" w:cs="Segoe UI Symbol"/>
          <w:sz w:val="20"/>
          <w:szCs w:val="20"/>
          <w:shd w:val="clear" w:color="auto" w:fill="FFFFFF"/>
        </w:rPr>
        <w:t>☐</w:t>
      </w:r>
      <w:r w:rsidRPr="007F4A0D">
        <w:rPr>
          <w:rFonts w:ascii="Open Sans" w:hAnsi="Open Sans" w:cs="Open Sans"/>
          <w:sz w:val="20"/>
          <w:szCs w:val="20"/>
          <w:shd w:val="clear" w:color="auto" w:fill="FFFFFF"/>
        </w:rPr>
        <w:t xml:space="preserve"> Não conheço nenhuma situação de conflito </w:t>
      </w:r>
    </w:p>
    <w:p w14:paraId="6390797C" w14:textId="1F594B40" w:rsidR="007F4A0D" w:rsidRPr="007F4A0D" w:rsidRDefault="007F4A0D" w:rsidP="007F4A0D">
      <w:pPr>
        <w:pStyle w:val="Estilo"/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F4A0D">
        <w:rPr>
          <w:rFonts w:ascii="Segoe UI Symbol" w:hAnsi="Segoe UI Symbol" w:cs="Segoe UI Symbol"/>
          <w:sz w:val="20"/>
          <w:szCs w:val="20"/>
          <w:shd w:val="clear" w:color="auto" w:fill="FFFFFF"/>
        </w:rPr>
        <w:t>☐</w:t>
      </w:r>
      <w:r w:rsidRPr="007F4A0D">
        <w:rPr>
          <w:rFonts w:ascii="Open Sans" w:hAnsi="Open Sans" w:cs="Open Sans"/>
          <w:sz w:val="20"/>
          <w:szCs w:val="20"/>
          <w:shd w:val="clear" w:color="auto" w:fill="FFFFFF"/>
        </w:rPr>
        <w:t xml:space="preserve"> Conheço alguma situação de conflito (selecionar apenas uma das opções anteriores)</w:t>
      </w:r>
    </w:p>
    <w:p w14:paraId="3F582E9E" w14:textId="77777777" w:rsidR="007F4A0D" w:rsidRPr="007F4A0D" w:rsidRDefault="007F4A0D" w:rsidP="007F4A0D">
      <w:pPr>
        <w:pStyle w:val="Estilo"/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F4A0D">
        <w:rPr>
          <w:rFonts w:ascii="Open Sans" w:hAnsi="Open Sans" w:cs="Open Sans"/>
          <w:sz w:val="20"/>
          <w:szCs w:val="20"/>
          <w:shd w:val="clear" w:color="auto" w:fill="FFFFFF"/>
        </w:rPr>
        <w:t>Em caso de resposta positiva, favor especificar a situação na qual estaria configurado o conflito de interesse:</w:t>
      </w:r>
    </w:p>
    <w:p w14:paraId="164732CA" w14:textId="50247E24" w:rsidR="007F4A0D" w:rsidRDefault="007F4A0D" w:rsidP="000B00F9">
      <w:pPr>
        <w:pStyle w:val="Estilo"/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3081208" wp14:editId="07A8866A">
                <wp:extent cx="5401310" cy="242570"/>
                <wp:effectExtent l="0" t="0" r="0" b="0"/>
                <wp:docPr id="169591444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1310" cy="242570"/>
                          <a:chOff x="0" y="0"/>
                          <a:chExt cx="5401310" cy="242570"/>
                        </a:xfrm>
                      </wpg:grpSpPr>
                      <wps:wsp>
                        <wps:cNvPr id="334322686" name="Graphic 4"/>
                        <wps:cNvSpPr/>
                        <wps:spPr>
                          <a:xfrm>
                            <a:off x="0" y="12"/>
                            <a:ext cx="5401310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310" h="242570">
                                <a:moveTo>
                                  <a:pt x="5400751" y="236220"/>
                                </a:moveTo>
                                <a:lnTo>
                                  <a:pt x="5394706" y="236220"/>
                                </a:lnTo>
                                <a:lnTo>
                                  <a:pt x="6096" y="236220"/>
                                </a:lnTo>
                                <a:lnTo>
                                  <a:pt x="0" y="236220"/>
                                </a:lnTo>
                                <a:lnTo>
                                  <a:pt x="0" y="242303"/>
                                </a:lnTo>
                                <a:lnTo>
                                  <a:pt x="6096" y="242303"/>
                                </a:lnTo>
                                <a:lnTo>
                                  <a:pt x="5394655" y="242303"/>
                                </a:lnTo>
                                <a:lnTo>
                                  <a:pt x="5400751" y="242303"/>
                                </a:lnTo>
                                <a:lnTo>
                                  <a:pt x="5400751" y="236220"/>
                                </a:lnTo>
                                <a:close/>
                              </a:path>
                              <a:path w="5401310" h="242570">
                                <a:moveTo>
                                  <a:pt x="5400751" y="0"/>
                                </a:moveTo>
                                <a:lnTo>
                                  <a:pt x="539470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36207"/>
                                </a:lnTo>
                                <a:lnTo>
                                  <a:pt x="6096" y="236207"/>
                                </a:lnTo>
                                <a:lnTo>
                                  <a:pt x="6096" y="6083"/>
                                </a:lnTo>
                                <a:lnTo>
                                  <a:pt x="5394655" y="6083"/>
                                </a:lnTo>
                                <a:lnTo>
                                  <a:pt x="5394655" y="236207"/>
                                </a:lnTo>
                                <a:lnTo>
                                  <a:pt x="5400751" y="236207"/>
                                </a:lnTo>
                                <a:lnTo>
                                  <a:pt x="5400751" y="6083"/>
                                </a:lnTo>
                                <a:lnTo>
                                  <a:pt x="5400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AD099A" id="Group 3" o:spid="_x0000_s1026" style="width:425.3pt;height:19.1pt;mso-position-horizontal-relative:char;mso-position-vertical-relative:line" coordsize="54013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Hi5wIAACYJAAAOAAAAZHJzL2Uyb0RvYy54bWykVl1vmzAUfZ+0/2D5fYVAvopKqqldo0lV&#10;V6md9uwY86EB9mwnpP9+1wYTRqcmafMA1/Hx9b3nHl9zdb2vSrRjUhW8jvHkwseI1ZQnRZ3F+Ofz&#10;3ZclRkqTOiElr1mMX5jC16vPn64aEbGA57xMmETgpFZRI2Kcay0iz1M0ZxVRF1ywGiZTLiuiYSgz&#10;L5GkAe9V6QW+P/caLhMhOWVKwb+37SReWf9pyqj+kaaKaVTGGGLT9intc2Oe3uqKRJkkIi9oFwZ5&#10;RxQVKWrYtHd1SzRBW1m8clUVVHLFU31BeeXxNC0oszlANhN/lM1a8q2wuWRRk4meJqB2xNO73dKH&#10;3VqKJ/Eo2+jBvOf0twJevEZk0XDejLMDeJ/KyiyCJNDeMvrSM8r2GlH4czb1J+EEiKcwF0yD2aKj&#10;nOZQl1fLaP7t7YUeidptbXB9MI0A9agDQepjBD3lRDDLuzIEPEpUJDEOw2kYBPPlHKOaVKDldSeb&#10;qVGRCQGwhslupDpS/8vTJGild4SoPl8S0a3Sa8Yt5WR3r3Qr3cRZJHcW3dfOlHAAjPRLK32NEUhf&#10;YgTS37T7C6LNOlNHY6JmULO8L5mZrviOPXML1KZwUFp/MZtgZCobzoPAVhYCPgDL+p8F4eV04QN7&#10;4wUO5t7C+p/7lydjQWCnOe2A0yD0Q0MAhOt2de/x7sexM0hsPpu1MZwAHxJ3JnzIswuYllyxNhdT&#10;wg+W8pwqOqyLxL1HFL4Na0tyCmbuL98u2kEG/uLE6gKhp2KPbj/UwVlgc3yORDE+bWfAj4cyEOS4&#10;Dq/EBSem7xlgD7uS4mWR3BVlaSSoZLa5KSXaEXPz2l9XkgEMuriK2j5prA1PXqDZNtBXY6z+bIlk&#10;GJXfa2jnUFrtDOmMjTOkLm+4veGt+qXSz/tfRAokwIyxhi77wF1XJ5FrnyaXHmtW1vzrVvO0ML3V&#10;xtZG1A3ghuluRbiMbe/oPhzMbT8cW9Th82b1FwAA//8DAFBLAwQUAAYACAAAACEAbG0IZNwAAAAE&#10;AQAADwAAAGRycy9kb3ducmV2LnhtbEyPQWvCQBCF74X+h2UKvdVNFCWk2YiI9iSFqiC9jdkxCWZn&#10;Q3ZN4r/vtpd6GXi8x3vfZMvRNKKnztWWFcSTCARxYXXNpYLjYfuWgHAeWWNjmRTcycEyf37KMNV2&#10;4C/q974UoYRdigoq79tUSldUZNBNbEscvIvtDPogu1LqDodQbho5jaKFNFhzWKiwpXVFxXV/Mwo+&#10;BhxWs3jT766X9f37MP887WJS6vVlXL2D8DT6/zD84gd0yAPT2d5YO9EoCI/4vxu8ZB4tQJwVzJIp&#10;yDyTj/D5DwAAAP//AwBQSwECLQAUAAYACAAAACEAtoM4kv4AAADhAQAAEwAAAAAAAAAAAAAAAAAA&#10;AAAAW0NvbnRlbnRfVHlwZXNdLnhtbFBLAQItABQABgAIAAAAIQA4/SH/1gAAAJQBAAALAAAAAAAA&#10;AAAAAAAAAC8BAABfcmVscy8ucmVsc1BLAQItABQABgAIAAAAIQCAq+Hi5wIAACYJAAAOAAAAAAAA&#10;AAAAAAAAAC4CAABkcnMvZTJvRG9jLnhtbFBLAQItABQABgAIAAAAIQBsbQhk3AAAAAQBAAAPAAAA&#10;AAAAAAAAAAAAAEEFAABkcnMvZG93bnJldi54bWxQSwUGAAAAAAQABADzAAAASgYAAAAA&#10;">
                <v:shape id="Graphic 4" o:spid="_x0000_s1027" style="position:absolute;width:54013;height:2425;visibility:visible;mso-wrap-style:square;v-text-anchor:top" coordsize="5401310,24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mHkywAAAOIAAAAPAAAAZHJzL2Rvd25yZXYueG1sRI9Ba8JA&#10;FITvhf6H5Qm91Y2JBomuIoVCaemhsUW8PbLPJJh9m+6uGv+9Wyh4HGbmG2a5HkwnzuR8a1nBZJyA&#10;IK6sbrlW8L19fZ6D8AFZY2eZFFzJw3r1+LDEQtsLf9G5DLWIEPYFKmhC6AspfdWQQT+2PXH0DtYZ&#10;DFG6WmqHlwg3nUyTJJcGW44LDfb00lB1LE9GwfvOfWyucjcpf+zh9JkMMzP73Sv1NBo2CxCBhnAP&#10;/7fftIIsm2Zpms9z+LsU74Bc3QAAAP//AwBQSwECLQAUAAYACAAAACEA2+H2y+4AAACFAQAAEwAA&#10;AAAAAAAAAAAAAAAAAAAAW0NvbnRlbnRfVHlwZXNdLnhtbFBLAQItABQABgAIAAAAIQBa9CxbvwAA&#10;ABUBAAALAAAAAAAAAAAAAAAAAB8BAABfcmVscy8ucmVsc1BLAQItABQABgAIAAAAIQCHQmHkywAA&#10;AOIAAAAPAAAAAAAAAAAAAAAAAAcCAABkcnMvZG93bnJldi54bWxQSwUGAAAAAAMAAwC3AAAA/wIA&#10;AAAA&#10;" path="m5400751,236220r-6045,l6096,236220r-6096,l,242303r6096,l5394655,242303r6096,l5400751,236220xem5400751,r-6045,l6096,,,,,6083,,236207r6096,l6096,6083r5388559,l5394655,236207r6096,l5400751,6083r,-6083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BBE6908" w14:textId="6C628645" w:rsidR="002F7E00" w:rsidRDefault="000B00F9" w:rsidP="000B00F9">
      <w:pPr>
        <w:pStyle w:val="Estilo"/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0B00F9">
        <w:rPr>
          <w:rFonts w:ascii="Open Sans" w:hAnsi="Open Sans" w:cs="Open Sans"/>
          <w:sz w:val="20"/>
          <w:szCs w:val="20"/>
          <w:shd w:val="clear" w:color="auto" w:fill="FFFFFF"/>
        </w:rPr>
        <w:t xml:space="preserve">Os Titulares dos </w:t>
      </w:r>
      <w:r w:rsidR="00A56007" w:rsidRPr="00FC1DD0">
        <w:rPr>
          <w:rFonts w:ascii="Open Sans" w:hAnsi="Open Sans" w:cs="Open Sans"/>
          <w:sz w:val="20"/>
          <w:szCs w:val="20"/>
          <w:shd w:val="clear" w:color="auto" w:fill="FFFFFF"/>
        </w:rPr>
        <w:t>CR</w:t>
      </w:r>
      <w:r w:rsidR="00A56007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0B00F9">
        <w:rPr>
          <w:rFonts w:ascii="Open Sans" w:hAnsi="Open Sans" w:cs="Open Sans"/>
          <w:sz w:val="20"/>
          <w:szCs w:val="20"/>
          <w:shd w:val="clear" w:color="auto" w:fill="FFFFFF"/>
        </w:rPr>
        <w:t xml:space="preserve"> t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ê</w:t>
      </w:r>
      <w:r w:rsidRPr="000B00F9">
        <w:rPr>
          <w:rFonts w:ascii="Open Sans" w:hAnsi="Open Sans" w:cs="Open Sans"/>
          <w:sz w:val="20"/>
          <w:szCs w:val="20"/>
          <w:shd w:val="clear" w:color="auto" w:fill="FFFFFF"/>
        </w:rPr>
        <w:t>m ciência de que as deliberações a serem tomadas em Assembleia são aprovadas respeitando os quóruns específicos estabelecidos no Termo de Securitização e que, ao se manifestar por meio da presente Instrução de Voto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, </w:t>
      </w:r>
      <w:r w:rsidRPr="000B00F9">
        <w:rPr>
          <w:rFonts w:ascii="Open Sans" w:hAnsi="Open Sans" w:cs="Open Sans"/>
          <w:sz w:val="20"/>
          <w:szCs w:val="20"/>
          <w:shd w:val="clear" w:color="auto" w:fill="FFFFFF"/>
        </w:rPr>
        <w:t>ainda que sua manifestação tenha sido apenas de aprovar, abster-se ou reprovar 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s matérias</w:t>
      </w:r>
      <w:r w:rsidRPr="000B00F9">
        <w:rPr>
          <w:rFonts w:ascii="Open Sans" w:hAnsi="Open Sans" w:cs="Open Sans"/>
          <w:sz w:val="20"/>
          <w:szCs w:val="20"/>
          <w:shd w:val="clear" w:color="auto" w:fill="FFFFFF"/>
        </w:rPr>
        <w:t xml:space="preserve"> Ordem do Dia, sem quaisquer ressalvas, poderá eventualmente ser obrigado a acatar eventuais condicionantes e/ou ressalvas a respeito das deliberações, que sejam discutidas e aprovadas pelos demais investidores no momento da Assembleia, conforme quórum aplicável. </w:t>
      </w:r>
    </w:p>
    <w:p w14:paraId="6EECFC98" w14:textId="01AC0072" w:rsidR="007F4A0D" w:rsidRDefault="007F4A0D" w:rsidP="000B00F9">
      <w:pPr>
        <w:pStyle w:val="Estilo"/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t>O</w:t>
      </w:r>
      <w:r w:rsidRPr="007F4A0D">
        <w:rPr>
          <w:rFonts w:ascii="Open Sans" w:hAnsi="Open Sans" w:cs="Open Sans"/>
          <w:sz w:val="20"/>
          <w:szCs w:val="20"/>
          <w:shd w:val="clear" w:color="auto" w:fill="FFFFFF"/>
        </w:rPr>
        <w:t xml:space="preserve"> Agente Fiduciário informa que as deliberações da presente assembleia podem ensejar riscos não mensuráveis no presente momento aos CRI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, incluindo, mas não se limitando, ao eventual aumento do risco de crédito em razão da </w:t>
      </w:r>
      <w:r w:rsidRPr="007F4A0D">
        <w:rPr>
          <w:rFonts w:ascii="Open Sans" w:hAnsi="Open Sans" w:cs="Open Sans"/>
          <w:sz w:val="20"/>
          <w:szCs w:val="20"/>
          <w:shd w:val="clear" w:color="auto" w:fill="FFFFFF"/>
        </w:rPr>
        <w:t>eventual incapacidade de recuperação das despesas e custos antecipados em razão do processo de excussão das garantias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419E3988" w14:textId="7A0D73D6" w:rsidR="007F4A0D" w:rsidRDefault="00871CFA" w:rsidP="000B00F9">
      <w:pPr>
        <w:pStyle w:val="Estilo"/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871CFA">
        <w:rPr>
          <w:rFonts w:ascii="Open Sans" w:hAnsi="Open Sans" w:cs="Open Sans"/>
          <w:sz w:val="20"/>
          <w:szCs w:val="20"/>
          <w:shd w:val="clear" w:color="auto" w:fill="FFFFFF"/>
        </w:rPr>
        <w:t>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Titular do CRI</w:t>
      </w:r>
      <w:r w:rsidRPr="00871CFA">
        <w:rPr>
          <w:rFonts w:ascii="Open Sans" w:hAnsi="Open Sans" w:cs="Open Sans"/>
          <w:sz w:val="20"/>
          <w:szCs w:val="20"/>
          <w:shd w:val="clear" w:color="auto" w:fill="FFFFFF"/>
        </w:rPr>
        <w:t xml:space="preserve"> reconhece que as deliberações poderão ensejar riscos não mensuráveis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aos CRI</w:t>
      </w:r>
      <w:r w:rsidRPr="00871CFA">
        <w:rPr>
          <w:rFonts w:ascii="Open Sans" w:hAnsi="Open Sans" w:cs="Open Sans"/>
          <w:sz w:val="20"/>
          <w:szCs w:val="20"/>
          <w:shd w:val="clear" w:color="auto" w:fill="FFFFFF"/>
        </w:rPr>
        <w:t xml:space="preserve">, tendo conduzido sua própria análise quantos aos riscos, sem prejuízo da indicação de possíveis </w:t>
      </w:r>
      <w:r w:rsidRPr="00871CF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riscos pelo Agente Fiduciária durante a 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ssembleia.</w:t>
      </w:r>
    </w:p>
    <w:p w14:paraId="4A61B5AA" w14:textId="5C492C7C" w:rsidR="00FB0D24" w:rsidRPr="00FC1DD0" w:rsidRDefault="00FB0D24" w:rsidP="0003354C">
      <w:pPr>
        <w:pStyle w:val="Estilo"/>
        <w:spacing w:before="280" w:after="140" w:line="290" w:lineRule="auto"/>
        <w:jc w:val="center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C74E26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3F3266CD" w14:textId="353ED6DF" w:rsidR="00FB0D24" w:rsidRPr="00C74E26" w:rsidRDefault="00FB0D24" w:rsidP="00C74E26">
      <w:pPr>
        <w:pStyle w:val="Estilo"/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>O Titular d</w:t>
      </w:r>
      <w:r w:rsidR="00FC1DD0">
        <w:rPr>
          <w:rFonts w:ascii="Open Sans" w:hAnsi="Open Sans" w:cs="Open Sans"/>
          <w:sz w:val="20"/>
          <w:szCs w:val="20"/>
          <w:shd w:val="clear" w:color="auto" w:fill="FFFFFF"/>
        </w:rPr>
        <w:t>os</w:t>
      </w: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847E57" w:rsidRPr="00FC1DD0">
        <w:rPr>
          <w:rFonts w:ascii="Open Sans" w:hAnsi="Open Sans" w:cs="Open Sans"/>
          <w:sz w:val="20"/>
          <w:szCs w:val="20"/>
          <w:shd w:val="clear" w:color="auto" w:fill="FFFFFF"/>
        </w:rPr>
        <w:t>CR</w:t>
      </w:r>
      <w:r w:rsidR="00847E57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 w:rsidRPr="00C74E26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222B3988" w14:textId="1F98146A" w:rsidR="00217F3C" w:rsidRDefault="00FB0D24" w:rsidP="00217F3C">
      <w:pPr>
        <w:pStyle w:val="Estilo"/>
        <w:numPr>
          <w:ilvl w:val="0"/>
          <w:numId w:val="7"/>
        </w:numPr>
        <w:spacing w:before="280" w:after="140" w:line="290" w:lineRule="auto"/>
        <w:ind w:hanging="72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</w:t>
      </w:r>
      <w:r w:rsidR="006B5FEF">
        <w:rPr>
          <w:rFonts w:ascii="Open Sans" w:hAnsi="Open Sans" w:cs="Open Sans"/>
          <w:sz w:val="20"/>
          <w:szCs w:val="20"/>
          <w:shd w:val="clear" w:color="auto" w:fill="FFFFFF"/>
        </w:rPr>
        <w:t>c</w:t>
      </w: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>ertificados digitais emitidos pela ICP-Brasil</w:t>
      </w:r>
      <w:r w:rsidR="00985191">
        <w:rPr>
          <w:rFonts w:ascii="Open Sans" w:hAnsi="Open Sans" w:cs="Open Sans"/>
          <w:sz w:val="20"/>
          <w:szCs w:val="20"/>
          <w:shd w:val="clear" w:color="auto" w:fill="FFFFFF"/>
        </w:rPr>
        <w:t xml:space="preserve"> e n</w:t>
      </w: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 xml:space="preserve">ão será exigido o reconhecimento de firma de assinaturas, </w:t>
      </w:r>
      <w:proofErr w:type="spellStart"/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</w:t>
      </w:r>
      <w:r w:rsidR="00985191">
        <w:rPr>
          <w:rFonts w:ascii="Open Sans" w:hAnsi="Open Sans" w:cs="Open Sans"/>
          <w:sz w:val="20"/>
          <w:szCs w:val="20"/>
          <w:shd w:val="clear" w:color="auto" w:fill="FFFFFF"/>
        </w:rPr>
        <w:t>;</w:t>
      </w:r>
    </w:p>
    <w:p w14:paraId="3B584149" w14:textId="641C175F" w:rsidR="00217F3C" w:rsidRDefault="00FB0D24" w:rsidP="00217F3C">
      <w:pPr>
        <w:pStyle w:val="Estilo"/>
        <w:numPr>
          <w:ilvl w:val="0"/>
          <w:numId w:val="7"/>
        </w:numPr>
        <w:spacing w:before="280" w:after="140" w:line="290" w:lineRule="auto"/>
        <w:ind w:hanging="72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217F3C">
        <w:rPr>
          <w:rFonts w:ascii="Open Sans" w:hAnsi="Open Sans" w:cs="Open Sans"/>
          <w:sz w:val="20"/>
          <w:szCs w:val="20"/>
          <w:shd w:val="clear" w:color="auto" w:fill="FFFFFF"/>
        </w:rPr>
        <w:t>os seguintes documentos deverão ser enviados em conjunto com a Instrução de Voto</w:t>
      </w:r>
      <w:r w:rsidR="003717FA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="003717FA" w:rsidRPr="003717FA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Documentos de Representação</w:t>
      </w:r>
      <w:r w:rsidR="003717FA">
        <w:rPr>
          <w:rFonts w:ascii="Open Sans" w:hAnsi="Open Sans" w:cs="Open Sans"/>
          <w:sz w:val="20"/>
          <w:szCs w:val="20"/>
          <w:shd w:val="clear" w:color="auto" w:fill="FFFFFF"/>
        </w:rPr>
        <w:t>”)</w:t>
      </w:r>
      <w:r w:rsidRPr="00217F3C">
        <w:rPr>
          <w:rFonts w:ascii="Open Sans" w:hAnsi="Open Sans" w:cs="Open Sans"/>
          <w:sz w:val="20"/>
          <w:szCs w:val="20"/>
          <w:shd w:val="clear" w:color="auto" w:fill="FFFFFF"/>
        </w:rPr>
        <w:t xml:space="preserve">: </w:t>
      </w:r>
    </w:p>
    <w:p w14:paraId="08A3FF49" w14:textId="16501D60" w:rsidR="0016198C" w:rsidRDefault="0016198C" w:rsidP="002C67D4">
      <w:pPr>
        <w:pStyle w:val="Estilo"/>
        <w:numPr>
          <w:ilvl w:val="0"/>
          <w:numId w:val="17"/>
        </w:numPr>
        <w:spacing w:before="280" w:after="140" w:line="290" w:lineRule="auto"/>
        <w:ind w:left="1418" w:hanging="698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433096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quando pessoa física</w:t>
      </w:r>
      <w:r w:rsidRPr="0016198C">
        <w:rPr>
          <w:rFonts w:ascii="Open Sans" w:hAnsi="Open Sans" w:cs="Open Sans"/>
          <w:sz w:val="20"/>
          <w:szCs w:val="20"/>
          <w:shd w:val="clear" w:color="auto" w:fill="FFFFFF"/>
        </w:rPr>
        <w:t xml:space="preserve">: documento de identidade válido com foto (Carteira de Identidade Registro Geral, Carteira Nacional de Habilitação, passaporte, carteiras de identidade expedidas pelos conselhos profissionais e carteiras funcionais expedidas pelos órgãos da </w:t>
      </w:r>
      <w:r w:rsidR="00433096" w:rsidRPr="0016198C">
        <w:rPr>
          <w:rFonts w:ascii="Open Sans" w:hAnsi="Open Sans" w:cs="Open Sans"/>
          <w:sz w:val="20"/>
          <w:szCs w:val="20"/>
          <w:shd w:val="clear" w:color="auto" w:fill="FFFFFF"/>
        </w:rPr>
        <w:t>administração pública</w:t>
      </w:r>
      <w:r w:rsidRPr="0016198C">
        <w:rPr>
          <w:rFonts w:ascii="Open Sans" w:hAnsi="Open Sans" w:cs="Open Sans"/>
          <w:sz w:val="20"/>
          <w:szCs w:val="20"/>
          <w:shd w:val="clear" w:color="auto" w:fill="FFFFFF"/>
        </w:rPr>
        <w:t>, desde que contenham foto de seu titular)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;</w:t>
      </w:r>
    </w:p>
    <w:p w14:paraId="14EB35FB" w14:textId="134427CA" w:rsidR="002C67D4" w:rsidRDefault="00FB0D24" w:rsidP="002C67D4">
      <w:pPr>
        <w:pStyle w:val="Estilo"/>
        <w:numPr>
          <w:ilvl w:val="0"/>
          <w:numId w:val="17"/>
        </w:numPr>
        <w:spacing w:before="280" w:after="140" w:line="290" w:lineRule="auto"/>
        <w:ind w:left="1418" w:hanging="698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433096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quando pessoa jurídica</w:t>
      </w:r>
      <w:r w:rsidR="00217F3C">
        <w:rPr>
          <w:rFonts w:ascii="Open Sans" w:hAnsi="Open Sans" w:cs="Open Sans"/>
          <w:sz w:val="20"/>
          <w:szCs w:val="20"/>
          <w:shd w:val="clear" w:color="auto" w:fill="FFFFFF"/>
        </w:rPr>
        <w:t>:</w:t>
      </w:r>
      <w:r w:rsidRPr="00217F3C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2C67D4">
        <w:rPr>
          <w:rFonts w:ascii="Open Sans" w:hAnsi="Open Sans" w:cs="Open Sans"/>
          <w:sz w:val="20"/>
          <w:szCs w:val="20"/>
          <w:shd w:val="clear" w:color="auto" w:fill="FFFFFF"/>
        </w:rPr>
        <w:t>(</w:t>
      </w:r>
      <w:r w:rsidR="00433096">
        <w:rPr>
          <w:rFonts w:ascii="Open Sans" w:hAnsi="Open Sans" w:cs="Open Sans"/>
          <w:sz w:val="20"/>
          <w:szCs w:val="20"/>
          <w:shd w:val="clear" w:color="auto" w:fill="FFFFFF"/>
        </w:rPr>
        <w:t>1</w:t>
      </w:r>
      <w:r w:rsidR="002C67D4">
        <w:rPr>
          <w:rFonts w:ascii="Open Sans" w:hAnsi="Open Sans" w:cs="Open Sans"/>
          <w:sz w:val="20"/>
          <w:szCs w:val="20"/>
          <w:shd w:val="clear" w:color="auto" w:fill="FFFFFF"/>
        </w:rPr>
        <w:t xml:space="preserve">) versão vigente do </w:t>
      </w:r>
      <w:r w:rsidRPr="00217F3C">
        <w:rPr>
          <w:rFonts w:ascii="Open Sans" w:hAnsi="Open Sans" w:cs="Open Sans"/>
          <w:sz w:val="20"/>
          <w:szCs w:val="20"/>
          <w:shd w:val="clear" w:color="auto" w:fill="FFFFFF"/>
        </w:rPr>
        <w:t xml:space="preserve">estatuto ou contrato social consolidado, devidamente registrado na </w:t>
      </w:r>
      <w:r w:rsidR="003B3445">
        <w:rPr>
          <w:rFonts w:ascii="Open Sans" w:hAnsi="Open Sans" w:cs="Open Sans"/>
          <w:sz w:val="20"/>
          <w:szCs w:val="20"/>
          <w:shd w:val="clear" w:color="auto" w:fill="FFFFFF"/>
        </w:rPr>
        <w:t>J</w:t>
      </w:r>
      <w:r w:rsidRPr="00217F3C">
        <w:rPr>
          <w:rFonts w:ascii="Open Sans" w:hAnsi="Open Sans" w:cs="Open Sans"/>
          <w:sz w:val="20"/>
          <w:szCs w:val="20"/>
          <w:shd w:val="clear" w:color="auto" w:fill="FFFFFF"/>
        </w:rPr>
        <w:t xml:space="preserve">unta </w:t>
      </w:r>
      <w:r w:rsidR="003B3445">
        <w:rPr>
          <w:rFonts w:ascii="Open Sans" w:hAnsi="Open Sans" w:cs="Open Sans"/>
          <w:sz w:val="20"/>
          <w:szCs w:val="20"/>
          <w:shd w:val="clear" w:color="auto" w:fill="FFFFFF"/>
        </w:rPr>
        <w:t>C</w:t>
      </w:r>
      <w:r w:rsidRPr="00217F3C">
        <w:rPr>
          <w:rFonts w:ascii="Open Sans" w:hAnsi="Open Sans" w:cs="Open Sans"/>
          <w:sz w:val="20"/>
          <w:szCs w:val="20"/>
          <w:shd w:val="clear" w:color="auto" w:fill="FFFFFF"/>
        </w:rPr>
        <w:t>omercial competente; (</w:t>
      </w:r>
      <w:r w:rsidR="00433096">
        <w:rPr>
          <w:rFonts w:ascii="Open Sans" w:hAnsi="Open Sans" w:cs="Open Sans"/>
          <w:sz w:val="20"/>
          <w:szCs w:val="20"/>
          <w:shd w:val="clear" w:color="auto" w:fill="FFFFFF"/>
        </w:rPr>
        <w:t>2</w:t>
      </w:r>
      <w:r w:rsidRPr="00217F3C">
        <w:rPr>
          <w:rFonts w:ascii="Open Sans" w:hAnsi="Open Sans" w:cs="Open Sans"/>
          <w:sz w:val="20"/>
          <w:szCs w:val="20"/>
          <w:shd w:val="clear" w:color="auto" w:fill="FFFFFF"/>
        </w:rPr>
        <w:t>) documentos societários que comprovem a representação legal do Titular d</w:t>
      </w:r>
      <w:r w:rsidR="00847E57">
        <w:rPr>
          <w:rFonts w:ascii="Open Sans" w:hAnsi="Open Sans" w:cs="Open Sans"/>
          <w:sz w:val="20"/>
          <w:szCs w:val="20"/>
          <w:shd w:val="clear" w:color="auto" w:fill="FFFFFF"/>
        </w:rPr>
        <w:t>os</w:t>
      </w:r>
      <w:r w:rsidRPr="00217F3C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847E57" w:rsidRPr="00FC1DD0">
        <w:rPr>
          <w:rFonts w:ascii="Open Sans" w:hAnsi="Open Sans" w:cs="Open Sans"/>
          <w:sz w:val="20"/>
          <w:szCs w:val="20"/>
          <w:shd w:val="clear" w:color="auto" w:fill="FFFFFF"/>
        </w:rPr>
        <w:t>CR</w:t>
      </w:r>
      <w:r w:rsidR="00847E57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217F3C">
        <w:rPr>
          <w:rFonts w:ascii="Open Sans" w:hAnsi="Open Sans" w:cs="Open Sans"/>
          <w:sz w:val="20"/>
          <w:szCs w:val="20"/>
          <w:shd w:val="clear" w:color="auto" w:fill="FFFFFF"/>
        </w:rPr>
        <w:t>; e (</w:t>
      </w:r>
      <w:r w:rsidR="00433096">
        <w:rPr>
          <w:rFonts w:ascii="Open Sans" w:hAnsi="Open Sans" w:cs="Open Sans"/>
          <w:sz w:val="20"/>
          <w:szCs w:val="20"/>
          <w:shd w:val="clear" w:color="auto" w:fill="FFFFFF"/>
        </w:rPr>
        <w:t>3</w:t>
      </w:r>
      <w:r w:rsidRPr="00217F3C">
        <w:rPr>
          <w:rFonts w:ascii="Open Sans" w:hAnsi="Open Sans" w:cs="Open Sans"/>
          <w:sz w:val="20"/>
          <w:szCs w:val="20"/>
          <w:shd w:val="clear" w:color="auto" w:fill="FFFFFF"/>
        </w:rPr>
        <w:t>) documento de identidade válido com foto do representante legal; e</w:t>
      </w:r>
    </w:p>
    <w:p w14:paraId="42989113" w14:textId="7DC253B8" w:rsidR="00433096" w:rsidRDefault="00FB0D24" w:rsidP="00433096">
      <w:pPr>
        <w:pStyle w:val="Estilo"/>
        <w:numPr>
          <w:ilvl w:val="0"/>
          <w:numId w:val="17"/>
        </w:numPr>
        <w:spacing w:before="280" w:after="140" w:line="290" w:lineRule="auto"/>
        <w:ind w:left="1418" w:hanging="698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8E013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quando fundo de investimento</w:t>
      </w:r>
      <w:r w:rsidR="002C67D4">
        <w:rPr>
          <w:rFonts w:ascii="Open Sans" w:hAnsi="Open Sans" w:cs="Open Sans"/>
          <w:sz w:val="20"/>
          <w:szCs w:val="20"/>
          <w:shd w:val="clear" w:color="auto" w:fill="FFFFFF"/>
        </w:rPr>
        <w:t>:</w:t>
      </w:r>
      <w:r w:rsidRPr="002C67D4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33096">
        <w:rPr>
          <w:rFonts w:ascii="Open Sans" w:hAnsi="Open Sans" w:cs="Open Sans"/>
          <w:sz w:val="20"/>
          <w:szCs w:val="20"/>
          <w:shd w:val="clear" w:color="auto" w:fill="FFFFFF"/>
        </w:rPr>
        <w:t>(1</w:t>
      </w:r>
      <w:r w:rsidRPr="002C67D4">
        <w:rPr>
          <w:rFonts w:ascii="Open Sans" w:hAnsi="Open Sans" w:cs="Open Sans"/>
          <w:sz w:val="20"/>
          <w:szCs w:val="20"/>
          <w:shd w:val="clear" w:color="auto" w:fill="FFFFFF"/>
        </w:rPr>
        <w:t xml:space="preserve">) </w:t>
      </w:r>
      <w:r w:rsidR="002C67D4">
        <w:rPr>
          <w:rFonts w:ascii="Open Sans" w:hAnsi="Open Sans" w:cs="Open Sans"/>
          <w:sz w:val="20"/>
          <w:szCs w:val="20"/>
          <w:shd w:val="clear" w:color="auto" w:fill="FFFFFF"/>
        </w:rPr>
        <w:t xml:space="preserve">versão vigente consolidada do </w:t>
      </w:r>
      <w:r w:rsidRPr="002C67D4">
        <w:rPr>
          <w:rFonts w:ascii="Open Sans" w:hAnsi="Open Sans" w:cs="Open Sans"/>
          <w:sz w:val="20"/>
          <w:szCs w:val="20"/>
          <w:shd w:val="clear" w:color="auto" w:fill="FFFFFF"/>
        </w:rPr>
        <w:t>regulamento do fundo; (</w:t>
      </w:r>
      <w:r w:rsidR="00433096">
        <w:rPr>
          <w:rFonts w:ascii="Open Sans" w:hAnsi="Open Sans" w:cs="Open Sans"/>
          <w:sz w:val="20"/>
          <w:szCs w:val="20"/>
          <w:shd w:val="clear" w:color="auto" w:fill="FFFFFF"/>
        </w:rPr>
        <w:t>2</w:t>
      </w:r>
      <w:r w:rsidRPr="002C67D4">
        <w:rPr>
          <w:rFonts w:ascii="Open Sans" w:hAnsi="Open Sans" w:cs="Open Sans"/>
          <w:sz w:val="20"/>
          <w:szCs w:val="20"/>
          <w:shd w:val="clear" w:color="auto" w:fill="FFFFFF"/>
        </w:rPr>
        <w:t xml:space="preserve">) </w:t>
      </w:r>
      <w:r w:rsidR="00DC1263">
        <w:rPr>
          <w:rFonts w:ascii="Open Sans" w:hAnsi="Open Sans" w:cs="Open Sans"/>
          <w:sz w:val="20"/>
          <w:szCs w:val="20"/>
          <w:shd w:val="clear" w:color="auto" w:fill="FFFFFF"/>
        </w:rPr>
        <w:t xml:space="preserve">versão vigente do </w:t>
      </w:r>
      <w:r w:rsidRPr="002C67D4">
        <w:rPr>
          <w:rFonts w:ascii="Open Sans" w:hAnsi="Open Sans" w:cs="Open Sans"/>
          <w:sz w:val="20"/>
          <w:szCs w:val="20"/>
          <w:shd w:val="clear" w:color="auto" w:fill="FFFFFF"/>
        </w:rPr>
        <w:t>estatuto ou contrato social do seu administrador</w:t>
      </w:r>
      <w:r w:rsidR="00B716ED">
        <w:rPr>
          <w:rFonts w:ascii="Open Sans" w:hAnsi="Open Sans" w:cs="Open Sans"/>
          <w:sz w:val="20"/>
          <w:szCs w:val="20"/>
          <w:shd w:val="clear" w:color="auto" w:fill="FFFFFF"/>
        </w:rPr>
        <w:t xml:space="preserve"> fiduciário</w:t>
      </w:r>
      <w:r w:rsidRPr="002C67D4">
        <w:rPr>
          <w:rFonts w:ascii="Open Sans" w:hAnsi="Open Sans" w:cs="Open Sans"/>
          <w:sz w:val="20"/>
          <w:szCs w:val="20"/>
          <w:shd w:val="clear" w:color="auto" w:fill="FFFFFF"/>
        </w:rPr>
        <w:t xml:space="preserve"> ou gestor, conforme o caso, observada a política de voto do fundo</w:t>
      </w:r>
      <w:r w:rsidR="002C67D4">
        <w:rPr>
          <w:rFonts w:ascii="Open Sans" w:hAnsi="Open Sans" w:cs="Open Sans"/>
          <w:sz w:val="20"/>
          <w:szCs w:val="20"/>
          <w:shd w:val="clear" w:color="auto" w:fill="FFFFFF"/>
        </w:rPr>
        <w:t>; (</w:t>
      </w:r>
      <w:r w:rsidR="00433096">
        <w:rPr>
          <w:rFonts w:ascii="Open Sans" w:hAnsi="Open Sans" w:cs="Open Sans"/>
          <w:sz w:val="20"/>
          <w:szCs w:val="20"/>
          <w:shd w:val="clear" w:color="auto" w:fill="FFFFFF"/>
        </w:rPr>
        <w:t>3</w:t>
      </w:r>
      <w:r w:rsidR="002C67D4">
        <w:rPr>
          <w:rFonts w:ascii="Open Sans" w:hAnsi="Open Sans" w:cs="Open Sans"/>
          <w:sz w:val="20"/>
          <w:szCs w:val="20"/>
          <w:shd w:val="clear" w:color="auto" w:fill="FFFFFF"/>
        </w:rPr>
        <w:t>)</w:t>
      </w:r>
      <w:r w:rsidRPr="002C67D4">
        <w:rPr>
          <w:rFonts w:ascii="Open Sans" w:hAnsi="Open Sans" w:cs="Open Sans"/>
          <w:sz w:val="20"/>
          <w:szCs w:val="20"/>
          <w:shd w:val="clear" w:color="auto" w:fill="FFFFFF"/>
        </w:rPr>
        <w:t xml:space="preserve"> documentos societários que comprovem os poderes de representação </w:t>
      </w:r>
      <w:r w:rsidR="002C67D4">
        <w:rPr>
          <w:rFonts w:ascii="Open Sans" w:hAnsi="Open Sans" w:cs="Open Sans"/>
          <w:sz w:val="20"/>
          <w:szCs w:val="20"/>
          <w:shd w:val="clear" w:color="auto" w:fill="FFFFFF"/>
        </w:rPr>
        <w:t>do administrador ou gestor do fundo</w:t>
      </w:r>
      <w:r w:rsidRPr="002C67D4">
        <w:rPr>
          <w:rFonts w:ascii="Open Sans" w:hAnsi="Open Sans" w:cs="Open Sans"/>
          <w:sz w:val="20"/>
          <w:szCs w:val="20"/>
          <w:shd w:val="clear" w:color="auto" w:fill="FFFFFF"/>
        </w:rPr>
        <w:t>; e (</w:t>
      </w:r>
      <w:r w:rsidR="00433096">
        <w:rPr>
          <w:rFonts w:ascii="Open Sans" w:hAnsi="Open Sans" w:cs="Open Sans"/>
          <w:sz w:val="20"/>
          <w:szCs w:val="20"/>
          <w:shd w:val="clear" w:color="auto" w:fill="FFFFFF"/>
        </w:rPr>
        <w:t>4</w:t>
      </w:r>
      <w:r w:rsidRPr="002C67D4">
        <w:rPr>
          <w:rFonts w:ascii="Open Sans" w:hAnsi="Open Sans" w:cs="Open Sans"/>
          <w:sz w:val="20"/>
          <w:szCs w:val="20"/>
          <w:shd w:val="clear" w:color="auto" w:fill="FFFFFF"/>
        </w:rPr>
        <w:t>) documento de identidade válido com foto do representante legal</w:t>
      </w:r>
      <w:r w:rsidR="00511A98" w:rsidRPr="00511A98">
        <w:rPr>
          <w:rFonts w:ascii="Open Sans" w:hAnsi="Open Sans" w:cs="Open Sans"/>
          <w:sz w:val="20"/>
          <w:szCs w:val="20"/>
          <w:lang w:eastAsia="en-US"/>
        </w:rPr>
        <w:t xml:space="preserve"> </w:t>
      </w:r>
      <w:r w:rsidR="00511A98">
        <w:rPr>
          <w:rFonts w:ascii="Open Sans" w:hAnsi="Open Sans" w:cs="Open Sans"/>
          <w:sz w:val="20"/>
          <w:szCs w:val="20"/>
          <w:lang w:eastAsia="en-US"/>
        </w:rPr>
        <w:t>do administrador fiduciário ou gestor do fundo</w:t>
      </w:r>
      <w:r w:rsidR="0016198C">
        <w:rPr>
          <w:rFonts w:ascii="Open Sans" w:hAnsi="Open Sans" w:cs="Open Sans"/>
          <w:sz w:val="20"/>
          <w:szCs w:val="20"/>
          <w:shd w:val="clear" w:color="auto" w:fill="FFFFFF"/>
        </w:rPr>
        <w:t>;</w:t>
      </w:r>
    </w:p>
    <w:p w14:paraId="405271D9" w14:textId="78A2EB6D" w:rsidR="00560AC3" w:rsidRDefault="0016198C" w:rsidP="00560AC3">
      <w:pPr>
        <w:pStyle w:val="Estilo"/>
        <w:numPr>
          <w:ilvl w:val="0"/>
          <w:numId w:val="17"/>
        </w:numPr>
        <w:spacing w:before="280" w:after="140" w:line="290" w:lineRule="auto"/>
        <w:ind w:left="1418" w:hanging="698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8E013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procuradores</w:t>
      </w:r>
      <w:r w:rsidR="00433096">
        <w:rPr>
          <w:rFonts w:ascii="Open Sans" w:hAnsi="Open Sans" w:cs="Open Sans"/>
          <w:sz w:val="20"/>
          <w:szCs w:val="20"/>
          <w:shd w:val="clear" w:color="auto" w:fill="FFFFFF"/>
        </w:rPr>
        <w:t xml:space="preserve">: </w:t>
      </w:r>
      <w:r w:rsidRPr="00433096">
        <w:rPr>
          <w:rFonts w:ascii="Open Sans" w:hAnsi="Open Sans" w:cs="Open Sans"/>
          <w:sz w:val="20"/>
          <w:szCs w:val="20"/>
          <w:shd w:val="clear" w:color="auto" w:fill="FFFFFF"/>
        </w:rPr>
        <w:t xml:space="preserve">caso </w:t>
      </w:r>
      <w:r w:rsidR="008E013C">
        <w:rPr>
          <w:rFonts w:ascii="Open Sans" w:hAnsi="Open Sans" w:cs="Open Sans"/>
          <w:sz w:val="20"/>
          <w:szCs w:val="20"/>
          <w:shd w:val="clear" w:color="auto" w:fill="FFFFFF"/>
        </w:rPr>
        <w:t xml:space="preserve">os </w:t>
      </w:r>
      <w:r w:rsidRPr="00433096">
        <w:rPr>
          <w:rFonts w:ascii="Open Sans" w:hAnsi="Open Sans" w:cs="Open Sans"/>
          <w:sz w:val="20"/>
          <w:szCs w:val="20"/>
          <w:shd w:val="clear" w:color="auto" w:fill="FFFFFF"/>
        </w:rPr>
        <w:t xml:space="preserve">Titulares dos </w:t>
      </w:r>
      <w:r w:rsidR="00847E57" w:rsidRPr="00FC1DD0">
        <w:rPr>
          <w:rFonts w:ascii="Open Sans" w:hAnsi="Open Sans" w:cs="Open Sans"/>
          <w:sz w:val="20"/>
          <w:szCs w:val="20"/>
          <w:shd w:val="clear" w:color="auto" w:fill="FFFFFF"/>
        </w:rPr>
        <w:t>CR</w:t>
      </w:r>
      <w:r w:rsidR="00847E57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433096">
        <w:rPr>
          <w:rFonts w:ascii="Open Sans" w:hAnsi="Open Sans" w:cs="Open Sans"/>
          <w:sz w:val="20"/>
          <w:szCs w:val="20"/>
          <w:shd w:val="clear" w:color="auto" w:fill="FFFFFF"/>
        </w:rPr>
        <w:t xml:space="preserve"> venham a ser representado</w:t>
      </w:r>
      <w:r w:rsidR="008E013C">
        <w:rPr>
          <w:rFonts w:ascii="Open Sans" w:hAnsi="Open Sans" w:cs="Open Sans"/>
          <w:sz w:val="20"/>
          <w:szCs w:val="20"/>
          <w:shd w:val="clear" w:color="auto" w:fill="FFFFFF"/>
        </w:rPr>
        <w:t>s</w:t>
      </w:r>
      <w:r w:rsidRPr="00433096">
        <w:rPr>
          <w:rFonts w:ascii="Open Sans" w:hAnsi="Open Sans" w:cs="Open Sans"/>
          <w:sz w:val="20"/>
          <w:szCs w:val="20"/>
          <w:shd w:val="clear" w:color="auto" w:fill="FFFFFF"/>
        </w:rPr>
        <w:t xml:space="preserve"> por procurador</w:t>
      </w:r>
      <w:r w:rsidR="008E013C">
        <w:rPr>
          <w:rFonts w:ascii="Open Sans" w:hAnsi="Open Sans" w:cs="Open Sans"/>
          <w:sz w:val="20"/>
          <w:szCs w:val="20"/>
          <w:shd w:val="clear" w:color="auto" w:fill="FFFFFF"/>
        </w:rPr>
        <w:t>es</w:t>
      </w:r>
      <w:r w:rsidRPr="00433096">
        <w:rPr>
          <w:rFonts w:ascii="Open Sans" w:hAnsi="Open Sans" w:cs="Open Sans"/>
          <w:sz w:val="20"/>
          <w:szCs w:val="20"/>
          <w:shd w:val="clear" w:color="auto" w:fill="FFFFFF"/>
        </w:rPr>
        <w:t xml:space="preserve">, além dos respectivos documentos indicados anteriormente, deverá encaminhar procuração com poderes específicos para sua representação na </w:t>
      </w:r>
      <w:r w:rsidR="008E013C">
        <w:rPr>
          <w:rFonts w:ascii="Open Sans" w:hAnsi="Open Sans" w:cs="Open Sans"/>
          <w:sz w:val="20"/>
          <w:szCs w:val="20"/>
          <w:shd w:val="clear" w:color="auto" w:fill="FFFFFF"/>
        </w:rPr>
        <w:t>Assembleia</w:t>
      </w:r>
      <w:r w:rsidR="00EC07BE">
        <w:rPr>
          <w:rFonts w:ascii="Open Sans" w:hAnsi="Open Sans" w:cs="Open Sans"/>
          <w:sz w:val="20"/>
          <w:szCs w:val="20"/>
          <w:shd w:val="clear" w:color="auto" w:fill="FFFFFF"/>
        </w:rPr>
        <w:t xml:space="preserve">, observado que, em caso de poderes outorgados por instrumento particular: (a) </w:t>
      </w:r>
      <w:r w:rsidR="00EC07BE" w:rsidRPr="00433096">
        <w:rPr>
          <w:rFonts w:ascii="Open Sans" w:hAnsi="Open Sans" w:cs="Open Sans"/>
          <w:sz w:val="20"/>
          <w:szCs w:val="20"/>
          <w:shd w:val="clear" w:color="auto" w:fill="FFFFFF"/>
        </w:rPr>
        <w:t xml:space="preserve">com reconhecimento de firma se </w:t>
      </w:r>
      <w:r w:rsidR="00EC07BE">
        <w:rPr>
          <w:rFonts w:ascii="Open Sans" w:hAnsi="Open Sans" w:cs="Open Sans"/>
          <w:sz w:val="20"/>
          <w:szCs w:val="20"/>
          <w:shd w:val="clear" w:color="auto" w:fill="FFFFFF"/>
        </w:rPr>
        <w:t xml:space="preserve">assinado fisicamente; ou (b) </w:t>
      </w:r>
      <w:r w:rsidR="00EC07BE" w:rsidRPr="00C74E26">
        <w:rPr>
          <w:rFonts w:ascii="Open Sans" w:hAnsi="Open Sans" w:cs="Open Sans"/>
          <w:sz w:val="20"/>
          <w:szCs w:val="20"/>
          <w:shd w:val="clear" w:color="auto" w:fill="FFFFFF"/>
        </w:rPr>
        <w:t>assinada de forma eletrônica, por meio de plataforma para assinaturas eletrônicas, com certificados digitais emitidos pela ICP-Brasil</w:t>
      </w:r>
      <w:r w:rsidR="00560AC3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14CD9441" w14:textId="61731189" w:rsidR="0016198C" w:rsidRPr="00560AC3" w:rsidRDefault="00560AC3" w:rsidP="00B82F70">
      <w:pPr>
        <w:pStyle w:val="Estilo"/>
        <w:widowControl/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P</w:t>
      </w:r>
      <w:r w:rsidR="0016198C" w:rsidRPr="00433096">
        <w:rPr>
          <w:rFonts w:ascii="Open Sans" w:hAnsi="Open Sans" w:cs="Open Sans"/>
          <w:sz w:val="20"/>
          <w:szCs w:val="20"/>
          <w:shd w:val="clear" w:color="auto" w:fill="FFFFFF"/>
        </w:rPr>
        <w:t xml:space="preserve">ara o caso de envio de procuração acompanhada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Instrução de Voto</w:t>
      </w:r>
      <w:r w:rsidR="0016198C" w:rsidRPr="00433096">
        <w:rPr>
          <w:rFonts w:ascii="Open Sans" w:hAnsi="Open Sans" w:cs="Open Sans"/>
          <w:sz w:val="20"/>
          <w:szCs w:val="20"/>
          <w:shd w:val="clear" w:color="auto" w:fill="FFFFFF"/>
        </w:rPr>
        <w:t xml:space="preserve">, será de responsabilidade exclusiva do outorgado a manifestação de voto de acordo com as instruções do outorgante, não havendo margem para a Emissora ou o Agente Fiduciário interpretar o sentido do voto em caso de divergência entre a redação da Ordem do Dia (conforme definido no Edital de Convocação) e da manifestação de voto. </w:t>
      </w:r>
    </w:p>
    <w:p w14:paraId="1B9EE475" w14:textId="5E6F74AF" w:rsidR="00335153" w:rsidRPr="00335153" w:rsidRDefault="00335153" w:rsidP="00335153">
      <w:pPr>
        <w:pStyle w:val="Estilo"/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>Conforme previsto no Edital de Convocação, o envio da Instrução de Voto</w:t>
      </w:r>
      <w:r w:rsidR="003717FA">
        <w:rPr>
          <w:rFonts w:ascii="Open Sans" w:hAnsi="Open Sans" w:cs="Open Sans"/>
          <w:sz w:val="20"/>
          <w:szCs w:val="20"/>
          <w:shd w:val="clear" w:color="auto" w:fill="FFFFFF"/>
        </w:rPr>
        <w:t xml:space="preserve"> e dos Documentos de Representação</w:t>
      </w: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 xml:space="preserve"> deverá ser realizado</w:t>
      </w:r>
      <w:r w:rsidR="003717FA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 xml:space="preserve">em até </w:t>
      </w:r>
      <w:r w:rsidR="00CF3235" w:rsidRPr="00CF3235">
        <w:rPr>
          <w:rFonts w:ascii="Open Sans" w:hAnsi="Open Sans" w:cs="Open Sans"/>
          <w:sz w:val="20"/>
          <w:szCs w:val="20"/>
          <w:shd w:val="clear" w:color="auto" w:fill="FFFFFF"/>
        </w:rPr>
        <w:t>48 (quarenta e oito) horas da realização da Assembleia</w:t>
      </w: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070D62" w14:textId="77777777" w:rsidR="00424389" w:rsidRDefault="00335153" w:rsidP="00335153">
      <w:pPr>
        <w:pStyle w:val="Estilo"/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>Para participação por meio de procurador, a outorga de poderes de representação deverá ter sido realizada há menos de 1 (um) ano.</w:t>
      </w:r>
    </w:p>
    <w:p w14:paraId="2BD0B5D5" w14:textId="72E8D7AC" w:rsidR="00335153" w:rsidRPr="00335153" w:rsidRDefault="00335153" w:rsidP="00335153">
      <w:pPr>
        <w:pStyle w:val="Estilo"/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</w:t>
      </w:r>
      <w:r w:rsidR="00424389">
        <w:rPr>
          <w:rFonts w:ascii="Open Sans" w:hAnsi="Open Sans" w:cs="Open Sans"/>
          <w:sz w:val="20"/>
          <w:szCs w:val="20"/>
          <w:shd w:val="clear" w:color="auto" w:fill="FFFFFF"/>
        </w:rPr>
        <w:t xml:space="preserve">os </w:t>
      </w:r>
      <w:r w:rsidR="00847E57" w:rsidRPr="00FC1DD0">
        <w:rPr>
          <w:rFonts w:ascii="Open Sans" w:hAnsi="Open Sans" w:cs="Open Sans"/>
          <w:sz w:val="20"/>
          <w:szCs w:val="20"/>
          <w:shd w:val="clear" w:color="auto" w:fill="FFFFFF"/>
        </w:rPr>
        <w:t>CR</w:t>
      </w:r>
      <w:r w:rsidR="00847E57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</w:t>
      </w:r>
      <w:r w:rsidR="00424389">
        <w:rPr>
          <w:rFonts w:ascii="Open Sans" w:hAnsi="Open Sans" w:cs="Open Sans"/>
          <w:sz w:val="20"/>
          <w:szCs w:val="20"/>
          <w:shd w:val="clear" w:color="auto" w:fill="FFFFFF"/>
        </w:rPr>
        <w:t>os</w:t>
      </w: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847E57" w:rsidRPr="00FC1DD0">
        <w:rPr>
          <w:rFonts w:ascii="Open Sans" w:hAnsi="Open Sans" w:cs="Open Sans"/>
          <w:sz w:val="20"/>
          <w:szCs w:val="20"/>
          <w:shd w:val="clear" w:color="auto" w:fill="FFFFFF"/>
        </w:rPr>
        <w:t>CR</w:t>
      </w:r>
      <w:r w:rsidR="00847E57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00DC8553" w14:textId="77777777" w:rsidR="00335153" w:rsidRPr="00335153" w:rsidRDefault="00335153" w:rsidP="00335153">
      <w:pPr>
        <w:pStyle w:val="Estilo"/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3BEBE3C3" w14:textId="0CD1B282" w:rsidR="00335153" w:rsidRPr="00335153" w:rsidRDefault="00335153" w:rsidP="00335153">
      <w:pPr>
        <w:pStyle w:val="Estilo"/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48914241" w14:textId="33392C7C" w:rsidR="00335153" w:rsidRPr="00335153" w:rsidRDefault="00335153" w:rsidP="00335153">
      <w:pPr>
        <w:pStyle w:val="Estilo"/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>O Titular d</w:t>
      </w:r>
      <w:r w:rsidR="00746CFD">
        <w:rPr>
          <w:rFonts w:ascii="Open Sans" w:hAnsi="Open Sans" w:cs="Open Sans"/>
          <w:sz w:val="20"/>
          <w:szCs w:val="20"/>
          <w:shd w:val="clear" w:color="auto" w:fill="FFFFFF"/>
        </w:rPr>
        <w:t xml:space="preserve">os </w:t>
      </w:r>
      <w:r w:rsidR="00847E57" w:rsidRPr="00FC1DD0">
        <w:rPr>
          <w:rFonts w:ascii="Open Sans" w:hAnsi="Open Sans" w:cs="Open Sans"/>
          <w:sz w:val="20"/>
          <w:szCs w:val="20"/>
          <w:shd w:val="clear" w:color="auto" w:fill="FFFFFF"/>
        </w:rPr>
        <w:t>CR</w:t>
      </w:r>
      <w:r w:rsidR="00847E57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 xml:space="preserve"> que </w:t>
      </w:r>
      <w:r w:rsidR="00DA6075">
        <w:rPr>
          <w:rFonts w:ascii="Open Sans" w:hAnsi="Open Sans" w:cs="Open Sans"/>
          <w:sz w:val="20"/>
          <w:szCs w:val="20"/>
          <w:shd w:val="clear" w:color="auto" w:fill="FFFFFF"/>
        </w:rPr>
        <w:t>enviar</w:t>
      </w: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 xml:space="preserve"> Instrução de Voto e esta for considerada válida não precisará acessar o </w:t>
      </w:r>
      <w:r w:rsidRPr="00DA6075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link </w:t>
      </w: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>para participação digital da Assembleia, sendo sua participação e voto computados de forma automática, sem prejuízo da possibilidade de sua simples participação na Assembleia, na forma prevista no artigo 71, § 4º, inciso I, da Resolução CVM 81. Contudo, será desconsiderada a Instrução de Voto anteriormente enviada por tal Titular d</w:t>
      </w:r>
      <w:r w:rsidR="00B4392B">
        <w:rPr>
          <w:rFonts w:ascii="Open Sans" w:hAnsi="Open Sans" w:cs="Open Sans"/>
          <w:sz w:val="20"/>
          <w:szCs w:val="20"/>
          <w:shd w:val="clear" w:color="auto" w:fill="FFFFFF"/>
        </w:rPr>
        <w:t>os</w:t>
      </w: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847E57" w:rsidRPr="00FC1DD0">
        <w:rPr>
          <w:rFonts w:ascii="Open Sans" w:hAnsi="Open Sans" w:cs="Open Sans"/>
          <w:sz w:val="20"/>
          <w:szCs w:val="20"/>
          <w:shd w:val="clear" w:color="auto" w:fill="FFFFFF"/>
        </w:rPr>
        <w:t>CR</w:t>
      </w:r>
      <w:r w:rsidR="00847E57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</w:t>
      </w:r>
      <w:r w:rsidR="00B4392B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 xml:space="preserve">participe da Assembleia através de acesso ao </w:t>
      </w:r>
      <w:r w:rsidRPr="00B4392B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 xml:space="preserve">link </w:t>
      </w: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 xml:space="preserve">e, cumulativamente, manifeste seu voto no ato de realização da Assembleia, conforme disposto no artigo 71, § 4º, inciso II, no artigo 75, § 1º, e no artigo 77, inciso I, todos da Resolução CVM 81. </w:t>
      </w:r>
    </w:p>
    <w:p w14:paraId="54B1533A" w14:textId="77777777" w:rsidR="00B4392B" w:rsidRDefault="00335153" w:rsidP="00B4392B">
      <w:pPr>
        <w:pStyle w:val="Estilo"/>
        <w:spacing w:before="280" w:after="140" w:line="290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335153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</w:p>
    <w:p w14:paraId="3320D8E4" w14:textId="31D2CAF0" w:rsidR="001306A5" w:rsidRPr="00B4392B" w:rsidRDefault="00FB0D24" w:rsidP="00B4392B">
      <w:pPr>
        <w:pStyle w:val="Estilo"/>
        <w:spacing w:before="280" w:after="140" w:line="290" w:lineRule="aut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C74E26">
        <w:rPr>
          <w:rFonts w:ascii="Open Sans" w:hAnsi="Open Sans" w:cs="Open Sans"/>
          <w:sz w:val="20"/>
          <w:szCs w:val="20"/>
          <w:shd w:val="clear" w:color="auto" w:fill="FFFFFF"/>
        </w:rPr>
        <w:t>* * *</w:t>
      </w:r>
    </w:p>
    <w:p w14:paraId="5E83B002" w14:textId="585D9927" w:rsidR="008C3134" w:rsidRPr="00C74E26" w:rsidRDefault="008C3134" w:rsidP="00C74E26">
      <w:pPr>
        <w:spacing w:before="280" w:after="140" w:line="290" w:lineRule="auto"/>
        <w:jc w:val="both"/>
        <w:rPr>
          <w:rFonts w:ascii="Open Sans" w:hAnsi="Open Sans" w:cs="Open Sans"/>
          <w:sz w:val="20"/>
          <w:szCs w:val="20"/>
        </w:rPr>
      </w:pPr>
    </w:p>
    <w:sectPr w:rsidR="008C3134" w:rsidRPr="00C74E26" w:rsidSect="002815FF">
      <w:headerReference w:type="default" r:id="rId12"/>
      <w:footerReference w:type="default" r:id="rId13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A6F6C" w14:textId="77777777" w:rsidR="00302735" w:rsidRDefault="00302735" w:rsidP="00421DD1">
      <w:r>
        <w:separator/>
      </w:r>
    </w:p>
  </w:endnote>
  <w:endnote w:type="continuationSeparator" w:id="0">
    <w:p w14:paraId="43D78D9C" w14:textId="77777777" w:rsidR="00302735" w:rsidRDefault="00302735" w:rsidP="00421DD1">
      <w:r>
        <w:continuationSeparator/>
      </w:r>
    </w:p>
  </w:endnote>
  <w:endnote w:type="continuationNotice" w:id="1">
    <w:p w14:paraId="73DD0782" w14:textId="77777777" w:rsidR="00302735" w:rsidRDefault="003027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DokChamp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675703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6"/>
        <w:szCs w:val="16"/>
      </w:rPr>
    </w:sdtEndPr>
    <w:sdtContent>
      <w:p w14:paraId="5CF59250" w14:textId="2DBE3403" w:rsidR="00B207E3" w:rsidRPr="009C643A" w:rsidRDefault="009C643A" w:rsidP="009C643A">
        <w:pPr>
          <w:pStyle w:val="Rodap"/>
          <w:jc w:val="center"/>
          <w:rPr>
            <w:rFonts w:ascii="Open Sans" w:hAnsi="Open Sans" w:cs="Open Sans"/>
            <w:sz w:val="16"/>
            <w:szCs w:val="16"/>
          </w:rPr>
        </w:pPr>
        <w:r w:rsidRPr="009C643A">
          <w:rPr>
            <w:rFonts w:ascii="Open Sans" w:hAnsi="Open Sans" w:cs="Open Sans"/>
            <w:sz w:val="16"/>
            <w:szCs w:val="16"/>
          </w:rPr>
          <w:fldChar w:fldCharType="begin"/>
        </w:r>
        <w:r w:rsidRPr="009C643A">
          <w:rPr>
            <w:rFonts w:ascii="Open Sans" w:hAnsi="Open Sans" w:cs="Open Sans"/>
            <w:sz w:val="16"/>
            <w:szCs w:val="16"/>
          </w:rPr>
          <w:instrText>PAGE   \* MERGEFORMAT</w:instrText>
        </w:r>
        <w:r w:rsidRPr="009C643A">
          <w:rPr>
            <w:rFonts w:ascii="Open Sans" w:hAnsi="Open Sans" w:cs="Open Sans"/>
            <w:sz w:val="16"/>
            <w:szCs w:val="16"/>
          </w:rPr>
          <w:fldChar w:fldCharType="separate"/>
        </w:r>
        <w:r w:rsidRPr="009C643A">
          <w:rPr>
            <w:rFonts w:ascii="Open Sans" w:hAnsi="Open Sans" w:cs="Open Sans"/>
            <w:sz w:val="16"/>
            <w:szCs w:val="16"/>
          </w:rPr>
          <w:t>2</w:t>
        </w:r>
        <w:r w:rsidRPr="009C643A">
          <w:rPr>
            <w:rFonts w:ascii="Open Sans" w:hAnsi="Open Sans" w:cs="Open Sans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6E968" w14:textId="77777777" w:rsidR="00302735" w:rsidRDefault="00302735" w:rsidP="00421DD1">
      <w:r>
        <w:separator/>
      </w:r>
    </w:p>
  </w:footnote>
  <w:footnote w:type="continuationSeparator" w:id="0">
    <w:p w14:paraId="0F3AA307" w14:textId="77777777" w:rsidR="00302735" w:rsidRDefault="00302735" w:rsidP="00421DD1">
      <w:r>
        <w:continuationSeparator/>
      </w:r>
    </w:p>
  </w:footnote>
  <w:footnote w:type="continuationNotice" w:id="1">
    <w:p w14:paraId="5668E6ED" w14:textId="77777777" w:rsidR="00302735" w:rsidRDefault="003027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D7687" w14:textId="755E831A" w:rsidR="00B207E3" w:rsidRDefault="00C74E26" w:rsidP="00B667E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D8772E" wp14:editId="0816F065">
          <wp:simplePos x="0" y="0"/>
          <wp:positionH relativeFrom="column">
            <wp:posOffset>-766405</wp:posOffset>
          </wp:positionH>
          <wp:positionV relativeFrom="paragraph">
            <wp:posOffset>-402337</wp:posOffset>
          </wp:positionV>
          <wp:extent cx="1138555" cy="1190625"/>
          <wp:effectExtent l="0" t="0" r="4445" b="9525"/>
          <wp:wrapNone/>
          <wp:docPr id="3" name="Imagem 3" descr="Gráfico, Gráfico de funil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Gráfico, Gráfico de funil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B6525"/>
    <w:multiLevelType w:val="hybridMultilevel"/>
    <w:tmpl w:val="C3B0B5BE"/>
    <w:lvl w:ilvl="0" w:tplc="BFBE76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F454DC80"/>
    <w:lvl w:ilvl="0" w:tplc="9EEEA36E">
      <w:start w:val="1"/>
      <w:numFmt w:val="lowerRoman"/>
      <w:lvlText w:val="(%1)"/>
      <w:lvlJc w:val="lef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170158"/>
    <w:multiLevelType w:val="hybridMultilevel"/>
    <w:tmpl w:val="ADF63D6C"/>
    <w:lvl w:ilvl="0" w:tplc="ADFAC9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DD625A"/>
    <w:multiLevelType w:val="hybridMultilevel"/>
    <w:tmpl w:val="6C6E20FA"/>
    <w:lvl w:ilvl="0" w:tplc="372E46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A013D8"/>
    <w:multiLevelType w:val="hybridMultilevel"/>
    <w:tmpl w:val="BBC03EB8"/>
    <w:lvl w:ilvl="0" w:tplc="DCE498E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B76096"/>
    <w:multiLevelType w:val="hybridMultilevel"/>
    <w:tmpl w:val="7E24CE2C"/>
    <w:lvl w:ilvl="0" w:tplc="22B28BB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7"/>
  </w:num>
  <w:num w:numId="2" w16cid:durableId="517040810">
    <w:abstractNumId w:val="9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2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4"/>
  </w:num>
  <w:num w:numId="9" w16cid:durableId="1076433941">
    <w:abstractNumId w:val="10"/>
  </w:num>
  <w:num w:numId="10" w16cid:durableId="18709938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8"/>
  </w:num>
  <w:num w:numId="13" w16cid:durableId="2060321044">
    <w:abstractNumId w:val="13"/>
  </w:num>
  <w:num w:numId="14" w16cid:durableId="1739589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9655603">
    <w:abstractNumId w:val="11"/>
  </w:num>
  <w:num w:numId="16" w16cid:durableId="1384212921">
    <w:abstractNumId w:val="6"/>
  </w:num>
  <w:num w:numId="17" w16cid:durableId="518860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4614"/>
    <w:rsid w:val="00020A3F"/>
    <w:rsid w:val="00032FB4"/>
    <w:rsid w:val="000334DF"/>
    <w:rsid w:val="0003354C"/>
    <w:rsid w:val="00037358"/>
    <w:rsid w:val="0004143F"/>
    <w:rsid w:val="0004193D"/>
    <w:rsid w:val="0004230C"/>
    <w:rsid w:val="00042CCB"/>
    <w:rsid w:val="0004657A"/>
    <w:rsid w:val="000604A2"/>
    <w:rsid w:val="000728FB"/>
    <w:rsid w:val="000733AC"/>
    <w:rsid w:val="00085619"/>
    <w:rsid w:val="000876FB"/>
    <w:rsid w:val="000A24E0"/>
    <w:rsid w:val="000A2D3A"/>
    <w:rsid w:val="000A51C9"/>
    <w:rsid w:val="000B00F9"/>
    <w:rsid w:val="000B198B"/>
    <w:rsid w:val="000B2178"/>
    <w:rsid w:val="000B26F6"/>
    <w:rsid w:val="000B28B4"/>
    <w:rsid w:val="000B7506"/>
    <w:rsid w:val="000D05DF"/>
    <w:rsid w:val="000D2078"/>
    <w:rsid w:val="000D3F44"/>
    <w:rsid w:val="000D4080"/>
    <w:rsid w:val="000E0289"/>
    <w:rsid w:val="000E4F5E"/>
    <w:rsid w:val="000F2A14"/>
    <w:rsid w:val="000F505D"/>
    <w:rsid w:val="000F62F0"/>
    <w:rsid w:val="00100336"/>
    <w:rsid w:val="00107AB4"/>
    <w:rsid w:val="00110816"/>
    <w:rsid w:val="00111659"/>
    <w:rsid w:val="00111B7A"/>
    <w:rsid w:val="00121850"/>
    <w:rsid w:val="00126EF1"/>
    <w:rsid w:val="001306A5"/>
    <w:rsid w:val="0013284A"/>
    <w:rsid w:val="00135CED"/>
    <w:rsid w:val="00136BE7"/>
    <w:rsid w:val="00152103"/>
    <w:rsid w:val="0015515D"/>
    <w:rsid w:val="00155920"/>
    <w:rsid w:val="0016198C"/>
    <w:rsid w:val="001626E6"/>
    <w:rsid w:val="00162EC5"/>
    <w:rsid w:val="001716B7"/>
    <w:rsid w:val="001729DE"/>
    <w:rsid w:val="00172C61"/>
    <w:rsid w:val="00174178"/>
    <w:rsid w:val="00180328"/>
    <w:rsid w:val="00180AC1"/>
    <w:rsid w:val="00182879"/>
    <w:rsid w:val="001833FF"/>
    <w:rsid w:val="00184FC6"/>
    <w:rsid w:val="00193DF5"/>
    <w:rsid w:val="001966AD"/>
    <w:rsid w:val="001A3ED7"/>
    <w:rsid w:val="001B6CCE"/>
    <w:rsid w:val="001C0427"/>
    <w:rsid w:val="001C3567"/>
    <w:rsid w:val="001C3D79"/>
    <w:rsid w:val="001C72A9"/>
    <w:rsid w:val="001D2B7F"/>
    <w:rsid w:val="001E125A"/>
    <w:rsid w:val="001E1D7A"/>
    <w:rsid w:val="001E3E7C"/>
    <w:rsid w:val="001E52CC"/>
    <w:rsid w:val="001E53A6"/>
    <w:rsid w:val="001F020C"/>
    <w:rsid w:val="00207A8F"/>
    <w:rsid w:val="002137BE"/>
    <w:rsid w:val="002178FA"/>
    <w:rsid w:val="00217F3C"/>
    <w:rsid w:val="002324A3"/>
    <w:rsid w:val="00234F32"/>
    <w:rsid w:val="002408B2"/>
    <w:rsid w:val="0024169B"/>
    <w:rsid w:val="00245C1D"/>
    <w:rsid w:val="00246215"/>
    <w:rsid w:val="00262A56"/>
    <w:rsid w:val="00273CEE"/>
    <w:rsid w:val="00275C9C"/>
    <w:rsid w:val="00277C27"/>
    <w:rsid w:val="00277D9A"/>
    <w:rsid w:val="002815FF"/>
    <w:rsid w:val="002819D1"/>
    <w:rsid w:val="00283472"/>
    <w:rsid w:val="00284A4D"/>
    <w:rsid w:val="00287D67"/>
    <w:rsid w:val="00291F6B"/>
    <w:rsid w:val="00292A8C"/>
    <w:rsid w:val="00295FF2"/>
    <w:rsid w:val="00297076"/>
    <w:rsid w:val="002A457E"/>
    <w:rsid w:val="002B483B"/>
    <w:rsid w:val="002B7997"/>
    <w:rsid w:val="002C5EA8"/>
    <w:rsid w:val="002C5FA4"/>
    <w:rsid w:val="002C67D4"/>
    <w:rsid w:val="002E00A4"/>
    <w:rsid w:val="002E2AD5"/>
    <w:rsid w:val="002E7BBD"/>
    <w:rsid w:val="002F6E67"/>
    <w:rsid w:val="002F7E00"/>
    <w:rsid w:val="00300504"/>
    <w:rsid w:val="00302735"/>
    <w:rsid w:val="00305C0E"/>
    <w:rsid w:val="00310DC6"/>
    <w:rsid w:val="00311D6D"/>
    <w:rsid w:val="00313C81"/>
    <w:rsid w:val="003175AA"/>
    <w:rsid w:val="003227D2"/>
    <w:rsid w:val="00330015"/>
    <w:rsid w:val="0033167B"/>
    <w:rsid w:val="003330CB"/>
    <w:rsid w:val="00335153"/>
    <w:rsid w:val="00343E17"/>
    <w:rsid w:val="00351F1F"/>
    <w:rsid w:val="00352FD7"/>
    <w:rsid w:val="0035667F"/>
    <w:rsid w:val="003621F6"/>
    <w:rsid w:val="00363BBD"/>
    <w:rsid w:val="0036652B"/>
    <w:rsid w:val="003717FA"/>
    <w:rsid w:val="00374F80"/>
    <w:rsid w:val="00380E67"/>
    <w:rsid w:val="00382222"/>
    <w:rsid w:val="003854BB"/>
    <w:rsid w:val="003862C3"/>
    <w:rsid w:val="00387D5E"/>
    <w:rsid w:val="0039480C"/>
    <w:rsid w:val="003955DD"/>
    <w:rsid w:val="003967F5"/>
    <w:rsid w:val="003A1437"/>
    <w:rsid w:val="003A2265"/>
    <w:rsid w:val="003A233D"/>
    <w:rsid w:val="003A6F95"/>
    <w:rsid w:val="003B3445"/>
    <w:rsid w:val="003B391C"/>
    <w:rsid w:val="003D0A75"/>
    <w:rsid w:val="003D6149"/>
    <w:rsid w:val="003D7443"/>
    <w:rsid w:val="003E222B"/>
    <w:rsid w:val="003E2A2B"/>
    <w:rsid w:val="003E3803"/>
    <w:rsid w:val="003E46A9"/>
    <w:rsid w:val="003E67E3"/>
    <w:rsid w:val="003E7367"/>
    <w:rsid w:val="003E7EE3"/>
    <w:rsid w:val="003F11A1"/>
    <w:rsid w:val="003F4F42"/>
    <w:rsid w:val="003F7936"/>
    <w:rsid w:val="00407DC5"/>
    <w:rsid w:val="00410B23"/>
    <w:rsid w:val="00412FF8"/>
    <w:rsid w:val="00413D6A"/>
    <w:rsid w:val="00414786"/>
    <w:rsid w:val="0041663F"/>
    <w:rsid w:val="00420E3A"/>
    <w:rsid w:val="00420F73"/>
    <w:rsid w:val="00421DD1"/>
    <w:rsid w:val="00424389"/>
    <w:rsid w:val="00433096"/>
    <w:rsid w:val="004351A0"/>
    <w:rsid w:val="00440241"/>
    <w:rsid w:val="004404DE"/>
    <w:rsid w:val="004417DB"/>
    <w:rsid w:val="00444178"/>
    <w:rsid w:val="00445A73"/>
    <w:rsid w:val="00454C20"/>
    <w:rsid w:val="00455FD0"/>
    <w:rsid w:val="00461090"/>
    <w:rsid w:val="00475319"/>
    <w:rsid w:val="00477297"/>
    <w:rsid w:val="00481AC4"/>
    <w:rsid w:val="00483DFE"/>
    <w:rsid w:val="004978D9"/>
    <w:rsid w:val="004B021A"/>
    <w:rsid w:val="004B051C"/>
    <w:rsid w:val="004C06AF"/>
    <w:rsid w:val="004C0AF9"/>
    <w:rsid w:val="004C2358"/>
    <w:rsid w:val="004C4CA8"/>
    <w:rsid w:val="004E0603"/>
    <w:rsid w:val="004E27B5"/>
    <w:rsid w:val="005004CF"/>
    <w:rsid w:val="0050100E"/>
    <w:rsid w:val="00506301"/>
    <w:rsid w:val="005073E5"/>
    <w:rsid w:val="0051082E"/>
    <w:rsid w:val="00511A98"/>
    <w:rsid w:val="00514815"/>
    <w:rsid w:val="005224D1"/>
    <w:rsid w:val="005230C1"/>
    <w:rsid w:val="005344D8"/>
    <w:rsid w:val="005350A6"/>
    <w:rsid w:val="00545A99"/>
    <w:rsid w:val="00546B5E"/>
    <w:rsid w:val="00556F6B"/>
    <w:rsid w:val="005603A8"/>
    <w:rsid w:val="00560AC3"/>
    <w:rsid w:val="005614DB"/>
    <w:rsid w:val="0057384D"/>
    <w:rsid w:val="00576025"/>
    <w:rsid w:val="005868B0"/>
    <w:rsid w:val="005956FF"/>
    <w:rsid w:val="0059614C"/>
    <w:rsid w:val="005A08C8"/>
    <w:rsid w:val="005A20BB"/>
    <w:rsid w:val="005A44BF"/>
    <w:rsid w:val="005B26B2"/>
    <w:rsid w:val="005B671D"/>
    <w:rsid w:val="005B76D0"/>
    <w:rsid w:val="005C019D"/>
    <w:rsid w:val="005C1B2A"/>
    <w:rsid w:val="005C4E4F"/>
    <w:rsid w:val="005E17F0"/>
    <w:rsid w:val="005E6215"/>
    <w:rsid w:val="005F4380"/>
    <w:rsid w:val="005F43DF"/>
    <w:rsid w:val="005F778A"/>
    <w:rsid w:val="0060598F"/>
    <w:rsid w:val="00607502"/>
    <w:rsid w:val="00607755"/>
    <w:rsid w:val="00615194"/>
    <w:rsid w:val="00616E44"/>
    <w:rsid w:val="00620E7A"/>
    <w:rsid w:val="00623869"/>
    <w:rsid w:val="00624069"/>
    <w:rsid w:val="00624D73"/>
    <w:rsid w:val="0063177B"/>
    <w:rsid w:val="00647D43"/>
    <w:rsid w:val="006501DC"/>
    <w:rsid w:val="00650D59"/>
    <w:rsid w:val="00653819"/>
    <w:rsid w:val="00654D72"/>
    <w:rsid w:val="00662D2D"/>
    <w:rsid w:val="0066565B"/>
    <w:rsid w:val="0066631F"/>
    <w:rsid w:val="00677EB9"/>
    <w:rsid w:val="00682720"/>
    <w:rsid w:val="006866FD"/>
    <w:rsid w:val="00690690"/>
    <w:rsid w:val="00691921"/>
    <w:rsid w:val="006B4B49"/>
    <w:rsid w:val="006B5FEF"/>
    <w:rsid w:val="006C5150"/>
    <w:rsid w:val="006C7A91"/>
    <w:rsid w:val="006D39DD"/>
    <w:rsid w:val="006D78A4"/>
    <w:rsid w:val="006E24D4"/>
    <w:rsid w:val="006E4A0E"/>
    <w:rsid w:val="006F1735"/>
    <w:rsid w:val="006F3165"/>
    <w:rsid w:val="007032B1"/>
    <w:rsid w:val="00703F00"/>
    <w:rsid w:val="00711F1A"/>
    <w:rsid w:val="00724DB3"/>
    <w:rsid w:val="007266FC"/>
    <w:rsid w:val="00736439"/>
    <w:rsid w:val="0074072E"/>
    <w:rsid w:val="00744720"/>
    <w:rsid w:val="00746CFD"/>
    <w:rsid w:val="00752D9A"/>
    <w:rsid w:val="00763999"/>
    <w:rsid w:val="00765F1D"/>
    <w:rsid w:val="00767ECA"/>
    <w:rsid w:val="00790460"/>
    <w:rsid w:val="0079733C"/>
    <w:rsid w:val="007A245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E745B"/>
    <w:rsid w:val="007F05DA"/>
    <w:rsid w:val="007F09DA"/>
    <w:rsid w:val="007F1498"/>
    <w:rsid w:val="007F378B"/>
    <w:rsid w:val="007F4A0D"/>
    <w:rsid w:val="007F57D3"/>
    <w:rsid w:val="007F5A7D"/>
    <w:rsid w:val="007F75F2"/>
    <w:rsid w:val="008012BE"/>
    <w:rsid w:val="00803683"/>
    <w:rsid w:val="00803FCA"/>
    <w:rsid w:val="00807519"/>
    <w:rsid w:val="00807E95"/>
    <w:rsid w:val="00811AFC"/>
    <w:rsid w:val="008139B6"/>
    <w:rsid w:val="0082045C"/>
    <w:rsid w:val="008271DB"/>
    <w:rsid w:val="00827889"/>
    <w:rsid w:val="00840295"/>
    <w:rsid w:val="00847395"/>
    <w:rsid w:val="00847E57"/>
    <w:rsid w:val="00860FA0"/>
    <w:rsid w:val="0086322A"/>
    <w:rsid w:val="00870B67"/>
    <w:rsid w:val="00871CFA"/>
    <w:rsid w:val="00871DF6"/>
    <w:rsid w:val="00876B4F"/>
    <w:rsid w:val="008773AE"/>
    <w:rsid w:val="00890ADF"/>
    <w:rsid w:val="00890E4B"/>
    <w:rsid w:val="00892468"/>
    <w:rsid w:val="00894061"/>
    <w:rsid w:val="00896EF0"/>
    <w:rsid w:val="00896F3A"/>
    <w:rsid w:val="008A1E03"/>
    <w:rsid w:val="008B52E0"/>
    <w:rsid w:val="008C0701"/>
    <w:rsid w:val="008C3134"/>
    <w:rsid w:val="008C3AB0"/>
    <w:rsid w:val="008E013C"/>
    <w:rsid w:val="00904CAD"/>
    <w:rsid w:val="0091013D"/>
    <w:rsid w:val="00911830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85191"/>
    <w:rsid w:val="00994215"/>
    <w:rsid w:val="00994F59"/>
    <w:rsid w:val="009950D4"/>
    <w:rsid w:val="00995B5A"/>
    <w:rsid w:val="0099720D"/>
    <w:rsid w:val="009A11DC"/>
    <w:rsid w:val="009A6283"/>
    <w:rsid w:val="009B267D"/>
    <w:rsid w:val="009B3D1E"/>
    <w:rsid w:val="009C0546"/>
    <w:rsid w:val="009C14A5"/>
    <w:rsid w:val="009C643A"/>
    <w:rsid w:val="009D17C4"/>
    <w:rsid w:val="009E776C"/>
    <w:rsid w:val="009F3B06"/>
    <w:rsid w:val="009F41DB"/>
    <w:rsid w:val="009F6304"/>
    <w:rsid w:val="009F6CBC"/>
    <w:rsid w:val="00A036BA"/>
    <w:rsid w:val="00A1394D"/>
    <w:rsid w:val="00A16A23"/>
    <w:rsid w:val="00A27DA4"/>
    <w:rsid w:val="00A33A4A"/>
    <w:rsid w:val="00A37AD8"/>
    <w:rsid w:val="00A56007"/>
    <w:rsid w:val="00A61AC7"/>
    <w:rsid w:val="00A646AF"/>
    <w:rsid w:val="00A6675C"/>
    <w:rsid w:val="00A80260"/>
    <w:rsid w:val="00A93703"/>
    <w:rsid w:val="00A942A7"/>
    <w:rsid w:val="00A94B13"/>
    <w:rsid w:val="00A95826"/>
    <w:rsid w:val="00A964AD"/>
    <w:rsid w:val="00AA3032"/>
    <w:rsid w:val="00AA7020"/>
    <w:rsid w:val="00AB33CC"/>
    <w:rsid w:val="00AC51E1"/>
    <w:rsid w:val="00AC6D95"/>
    <w:rsid w:val="00AD2A2E"/>
    <w:rsid w:val="00AD40C6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451"/>
    <w:rsid w:val="00B15A3B"/>
    <w:rsid w:val="00B15C01"/>
    <w:rsid w:val="00B207E3"/>
    <w:rsid w:val="00B26FBF"/>
    <w:rsid w:val="00B31430"/>
    <w:rsid w:val="00B36D7F"/>
    <w:rsid w:val="00B4392B"/>
    <w:rsid w:val="00B4515C"/>
    <w:rsid w:val="00B47066"/>
    <w:rsid w:val="00B63CA6"/>
    <w:rsid w:val="00B67E5B"/>
    <w:rsid w:val="00B70208"/>
    <w:rsid w:val="00B715C6"/>
    <w:rsid w:val="00B716ED"/>
    <w:rsid w:val="00B82F70"/>
    <w:rsid w:val="00B835EA"/>
    <w:rsid w:val="00B87750"/>
    <w:rsid w:val="00B87E3C"/>
    <w:rsid w:val="00BA27A0"/>
    <w:rsid w:val="00BC2FE8"/>
    <w:rsid w:val="00BC543A"/>
    <w:rsid w:val="00BD1B59"/>
    <w:rsid w:val="00BD7A6F"/>
    <w:rsid w:val="00BE5502"/>
    <w:rsid w:val="00BF0670"/>
    <w:rsid w:val="00BF1787"/>
    <w:rsid w:val="00BF7C0A"/>
    <w:rsid w:val="00C01606"/>
    <w:rsid w:val="00C01C0E"/>
    <w:rsid w:val="00C02664"/>
    <w:rsid w:val="00C044ED"/>
    <w:rsid w:val="00C27A78"/>
    <w:rsid w:val="00C3003E"/>
    <w:rsid w:val="00C403CD"/>
    <w:rsid w:val="00C41816"/>
    <w:rsid w:val="00C4296E"/>
    <w:rsid w:val="00C42CED"/>
    <w:rsid w:val="00C61A29"/>
    <w:rsid w:val="00C74E26"/>
    <w:rsid w:val="00C76229"/>
    <w:rsid w:val="00C764D5"/>
    <w:rsid w:val="00C80162"/>
    <w:rsid w:val="00C80210"/>
    <w:rsid w:val="00C823F1"/>
    <w:rsid w:val="00C9245B"/>
    <w:rsid w:val="00C93F70"/>
    <w:rsid w:val="00C96AD9"/>
    <w:rsid w:val="00C97EB7"/>
    <w:rsid w:val="00CA3E90"/>
    <w:rsid w:val="00CA6105"/>
    <w:rsid w:val="00CB208F"/>
    <w:rsid w:val="00CB2856"/>
    <w:rsid w:val="00CB432E"/>
    <w:rsid w:val="00CC2561"/>
    <w:rsid w:val="00CC7C51"/>
    <w:rsid w:val="00CD4974"/>
    <w:rsid w:val="00CD5627"/>
    <w:rsid w:val="00CE1E34"/>
    <w:rsid w:val="00CE23C9"/>
    <w:rsid w:val="00CE2F12"/>
    <w:rsid w:val="00CF3235"/>
    <w:rsid w:val="00CF4701"/>
    <w:rsid w:val="00CF56B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2495"/>
    <w:rsid w:val="00D4682B"/>
    <w:rsid w:val="00D47FE1"/>
    <w:rsid w:val="00D50CCC"/>
    <w:rsid w:val="00D53209"/>
    <w:rsid w:val="00D535CD"/>
    <w:rsid w:val="00D627E2"/>
    <w:rsid w:val="00D6332B"/>
    <w:rsid w:val="00D64C41"/>
    <w:rsid w:val="00D67F7A"/>
    <w:rsid w:val="00D711EF"/>
    <w:rsid w:val="00D73198"/>
    <w:rsid w:val="00D92C2E"/>
    <w:rsid w:val="00D96E5D"/>
    <w:rsid w:val="00DA6075"/>
    <w:rsid w:val="00DB2915"/>
    <w:rsid w:val="00DB7A87"/>
    <w:rsid w:val="00DC023B"/>
    <w:rsid w:val="00DC1263"/>
    <w:rsid w:val="00DD08DA"/>
    <w:rsid w:val="00DF608D"/>
    <w:rsid w:val="00DF651C"/>
    <w:rsid w:val="00E01E0D"/>
    <w:rsid w:val="00E02B84"/>
    <w:rsid w:val="00E04800"/>
    <w:rsid w:val="00E059CA"/>
    <w:rsid w:val="00E309DB"/>
    <w:rsid w:val="00E3556E"/>
    <w:rsid w:val="00E432D3"/>
    <w:rsid w:val="00E448D5"/>
    <w:rsid w:val="00E44B39"/>
    <w:rsid w:val="00E457AF"/>
    <w:rsid w:val="00E52D47"/>
    <w:rsid w:val="00E542B2"/>
    <w:rsid w:val="00E547A4"/>
    <w:rsid w:val="00E55133"/>
    <w:rsid w:val="00E62321"/>
    <w:rsid w:val="00E63450"/>
    <w:rsid w:val="00E63EF5"/>
    <w:rsid w:val="00E64E49"/>
    <w:rsid w:val="00E7670C"/>
    <w:rsid w:val="00E82114"/>
    <w:rsid w:val="00E85C9A"/>
    <w:rsid w:val="00E90E14"/>
    <w:rsid w:val="00E93557"/>
    <w:rsid w:val="00E953F3"/>
    <w:rsid w:val="00E9708B"/>
    <w:rsid w:val="00EA0716"/>
    <w:rsid w:val="00EA3F11"/>
    <w:rsid w:val="00EA5F16"/>
    <w:rsid w:val="00EA76F2"/>
    <w:rsid w:val="00EB6998"/>
    <w:rsid w:val="00EB7A18"/>
    <w:rsid w:val="00EC0133"/>
    <w:rsid w:val="00EC07BE"/>
    <w:rsid w:val="00EC10DA"/>
    <w:rsid w:val="00EC44DD"/>
    <w:rsid w:val="00ED0EE2"/>
    <w:rsid w:val="00ED45DF"/>
    <w:rsid w:val="00EE0F85"/>
    <w:rsid w:val="00EE4302"/>
    <w:rsid w:val="00EF3527"/>
    <w:rsid w:val="00F034EA"/>
    <w:rsid w:val="00F04446"/>
    <w:rsid w:val="00F04ADC"/>
    <w:rsid w:val="00F074AB"/>
    <w:rsid w:val="00F10B35"/>
    <w:rsid w:val="00F153D8"/>
    <w:rsid w:val="00F2129D"/>
    <w:rsid w:val="00F337F1"/>
    <w:rsid w:val="00F343EF"/>
    <w:rsid w:val="00F41120"/>
    <w:rsid w:val="00F62E3C"/>
    <w:rsid w:val="00F63FAB"/>
    <w:rsid w:val="00F67FF9"/>
    <w:rsid w:val="00F730BB"/>
    <w:rsid w:val="00F77177"/>
    <w:rsid w:val="00F80A5F"/>
    <w:rsid w:val="00F85126"/>
    <w:rsid w:val="00F85F1F"/>
    <w:rsid w:val="00F91067"/>
    <w:rsid w:val="00F96DD4"/>
    <w:rsid w:val="00FA61DD"/>
    <w:rsid w:val="00FA6FDB"/>
    <w:rsid w:val="00FA7669"/>
    <w:rsid w:val="00FB0D24"/>
    <w:rsid w:val="00FB6B15"/>
    <w:rsid w:val="00FC1DD0"/>
    <w:rsid w:val="00FC711E"/>
    <w:rsid w:val="00FE292B"/>
    <w:rsid w:val="00FE2961"/>
    <w:rsid w:val="00FE3B99"/>
    <w:rsid w:val="00FE4844"/>
    <w:rsid w:val="00FF4956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E550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E5502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BE550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775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7755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6077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2565C418707D4AA9D5B20100C39FAD" ma:contentTypeVersion="21" ma:contentTypeDescription="Crie um novo documento." ma:contentTypeScope="" ma:versionID="cc8af9b96cd164af31171bab719947d8">
  <xsd:schema xmlns:xsd="http://www.w3.org/2001/XMLSchema" xmlns:xs="http://www.w3.org/2001/XMLSchema" xmlns:p="http://schemas.microsoft.com/office/2006/metadata/properties" xmlns:ns2="90be1033-61d5-46ad-ae3a-53f0d5f2e6d6" xmlns:ns3="bb6cd9ea-a165-46c7-8046-7d231703d635" targetNamespace="http://schemas.microsoft.com/office/2006/metadata/properties" ma:root="true" ma:fieldsID="9f079ddf76064e65612bc842578ea4d7" ns2:_="" ns3:_="">
    <xsd:import namespace="90be1033-61d5-46ad-ae3a-53f0d5f2e6d6"/>
    <xsd:import namespace="bb6cd9ea-a165-46c7-8046-7d231703d6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ExtranetNome" minOccurs="0"/>
                <xsd:element ref="ns3:MediaServiceObjectDetectorVersions" minOccurs="0"/>
                <xsd:element ref="ns3:MediaServiceSearchProperties" minOccurs="0"/>
                <xsd:element ref="ns3:EXTRAN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1033-61d5-46ad-ae3a-53f0d5f2e6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62c6088-f40a-4906-9512-a51a679c9280}" ma:internalName="TaxCatchAll" ma:showField="CatchAllData" ma:web="90be1033-61d5-46ad-ae3a-53f0d5f2e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d9ea-a165-46c7-8046-7d231703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xtranetNome" ma:index="27" nillable="true" ma:displayName="Extranet nome" ma:format="Dropdown" ma:internalName="ExtranetNome">
      <xsd:simpleType>
        <xsd:restriction base="dms:Text">
          <xsd:maxLength value="255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XTRANET" ma:index="30" nillable="true" ma:displayName="EXTRANET" ma:description="Dados da Extranet (caminho da operação para pastas de operação)" ma:format="Dropdown" ma:internalName="EXTRANE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be1033-61d5-46ad-ae3a-53f0d5f2e6d6">XYRVYRS7NR3H-414051584-1090469</_dlc_DocId>
    <_dlc_DocIdUrl xmlns="90be1033-61d5-46ad-ae3a-53f0d5f2e6d6">
      <Url>https://contatofortesec.sharepoint.com/sites/Gestao/_layouts/15/DocIdRedir.aspx?ID=XYRVYRS7NR3H-414051584-1090469</Url>
      <Description>XYRVYRS7NR3H-414051584-1090469</Description>
    </_dlc_DocIdUrl>
    <TaxCatchAll xmlns="90be1033-61d5-46ad-ae3a-53f0d5f2e6d6" xsi:nil="true"/>
    <lcf76f155ced4ddcb4097134ff3c332f xmlns="bb6cd9ea-a165-46c7-8046-7d231703d635">
      <Terms xmlns="http://schemas.microsoft.com/office/infopath/2007/PartnerControls"/>
    </lcf76f155ced4ddcb4097134ff3c332f>
    <EXTRANET xmlns="bb6cd9ea-a165-46c7-8046-7d231703d635" xsi:nil="true"/>
    <ExtranetNome xmlns="bb6cd9ea-a165-46c7-8046-7d231703d635" xsi:nil="true"/>
  </documentManagement>
</p:properties>
</file>

<file path=customXml/itemProps1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0087F-C520-42BC-BEA8-9E780B353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1033-61d5-46ad-ae3a-53f0d5f2e6d6"/>
    <ds:schemaRef ds:uri="bb6cd9ea-a165-46c7-8046-7d231703d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90be1033-61d5-46ad-ae3a-53f0d5f2e6d6"/>
    <ds:schemaRef ds:uri="bb6cd9ea-a165-46c7-8046-7d231703d6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1641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Jéssica Teixeira</cp:lastModifiedBy>
  <cp:revision>11</cp:revision>
  <cp:lastPrinted>2023-01-06T12:50:00Z</cp:lastPrinted>
  <dcterms:created xsi:type="dcterms:W3CDTF">2025-04-07T20:52:00Z</dcterms:created>
  <dcterms:modified xsi:type="dcterms:W3CDTF">2025-04-08T19:15:00Z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0x010100252565C418707D4AA9D5B20100C39FAD</vt:lpwstr>
  </property>
  <property fmtid="{D5CDD505-2E9C-101B-9397-08002B2CF9AE}" pid="3" name="Order">
    <vt:r8>14159200</vt:r8>
  </property>
  <property fmtid="{D5CDD505-2E9C-101B-9397-08002B2CF9AE}" pid="4" name="_dlc_DocIdItemGuid">
    <vt:lpwstr>4ce944f1-bc59-4f7f-92ec-2332e6617e2d</vt:lpwstr>
  </property>
  <property fmtid="{D5CDD505-2E9C-101B-9397-08002B2CF9AE}" pid="5" name="MediaServiceImageTags">
    <vt:lpwstr/>
  </property>
</Properties>
</file>