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2740CF0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 GERAL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CERTIFICADOS DE RECEBÍVEIS IMOBILIÁRIOS DAS</w:t>
      </w:r>
      <w:r w:rsidR="00F45D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45D90" w:rsidRPr="00F45D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606ª e 607ª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9046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E432D3" w:rsidRPr="00EA235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DA </w:t>
      </w:r>
      <w:r w:rsidR="00F45D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466FE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30 DE SETEMBRO DE 2025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6159819" w14:textId="4AA3F48C" w:rsidR="00CF78BE" w:rsidRPr="002422F0" w:rsidRDefault="008574ED" w:rsidP="002422F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2422F0"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005CD8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A640C4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005CD8">
        <w:rPr>
          <w:rFonts w:ascii="Open Sans" w:hAnsi="Open Sans" w:cs="Open Sans"/>
          <w:color w:val="000000" w:themeColor="text1"/>
          <w:sz w:val="20"/>
          <w:szCs w:val="20"/>
        </w:rPr>
        <w:t xml:space="preserve">alteração do anexo II do Termo de Securitização pelo </w:t>
      </w:r>
      <w:r w:rsidR="00005CD8" w:rsidRPr="008D0B5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Anexo I</w:t>
      </w:r>
      <w:r w:rsidR="00005CD8">
        <w:rPr>
          <w:rFonts w:ascii="Open Sans" w:hAnsi="Open Sans" w:cs="Open Sans"/>
          <w:color w:val="000000" w:themeColor="text1"/>
          <w:sz w:val="20"/>
          <w:szCs w:val="20"/>
        </w:rPr>
        <w:t xml:space="preserve"> ao presente Edital (disponível em </w:t>
      </w:r>
      <w:hyperlink r:id="rId12" w:history="1">
        <w:r w:rsidR="00005CD8" w:rsidRPr="001A685C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="00005CD8">
        <w:rPr>
          <w:rFonts w:ascii="Open Sans" w:hAnsi="Open Sans" w:cs="Open Sans"/>
          <w:color w:val="000000" w:themeColor="text1"/>
          <w:sz w:val="20"/>
          <w:szCs w:val="20"/>
        </w:rPr>
        <w:t xml:space="preserve">), o que inclui, mas não se limita, à concessão de carência no pagamento das parcelas de Amortização Ordinária dos CRI devidas entre </w:t>
      </w:r>
      <w:r w:rsidR="005F3A71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005CD8">
        <w:rPr>
          <w:rFonts w:ascii="Open Sans" w:hAnsi="Open Sans" w:cs="Open Sans"/>
          <w:color w:val="000000" w:themeColor="text1"/>
          <w:sz w:val="20"/>
          <w:szCs w:val="20"/>
        </w:rPr>
        <w:t>de 2025 (inclusive) e abril de 2026 (inclusive);</w:t>
      </w:r>
    </w:p>
    <w:p w14:paraId="6578F170" w14:textId="77777777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72DBD362" w14:textId="52022ACD" w:rsidR="00CC2561" w:rsidRDefault="00981760" w:rsidP="009817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6506D4">
        <w:rPr>
          <w:rFonts w:ascii="Open Sans" w:hAnsi="Open Sans" w:cs="Open Sans"/>
          <w:color w:val="000000" w:themeColor="text1"/>
          <w:sz w:val="20"/>
          <w:szCs w:val="20"/>
        </w:rPr>
        <w:t xml:space="preserve"> aprovação</w:t>
      </w:r>
      <w:r w:rsidR="00A640C4">
        <w:rPr>
          <w:rFonts w:ascii="Open Sans" w:hAnsi="Open Sans" w:cs="Open Sans"/>
          <w:color w:val="000000" w:themeColor="text1"/>
          <w:sz w:val="20"/>
          <w:szCs w:val="20"/>
        </w:rPr>
        <w:t xml:space="preserve"> da alteração do Valor Mínimo do Fundo de Reserva para que passe a corresponder ao valor necessário para efetuar o pagamento da Amortização Ordinária e Remuneração dos CRI no mês imediatamente posterior ao Mês de Apuração, com o limite máximo mensal de utilização dos Créditos imobiliários Totais na Ordem de Pagamentos para a recomposição do Fundo de Reserva em valor correspondente a 1/24 do novo Valor Mínimo do Fundo de Reserva até que o Fundo de Reserva tenha seu valor reenquadrado</w:t>
      </w:r>
      <w:r w:rsidR="006506D4">
        <w:rPr>
          <w:rFonts w:ascii="Open Sans" w:hAnsi="Open Sans" w:cs="Open Sans"/>
          <w:color w:val="000000" w:themeColor="text1"/>
          <w:sz w:val="20"/>
          <w:szCs w:val="20"/>
        </w:rPr>
        <w:t>;</w:t>
      </w:r>
      <w:r w:rsidR="00CC2561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76493C80" w14:textId="77777777" w:rsidR="00CC2561" w:rsidRDefault="00CC2561" w:rsidP="00CC2561">
      <w:pPr>
        <w:pStyle w:val="ListParagraph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6AF6608" w14:textId="77777777" w:rsidR="00136BE7" w:rsidRDefault="00136BE7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EBC2809" w14:textId="6F05A59D" w:rsidR="00CC2561" w:rsidRPr="007A3B89" w:rsidRDefault="00CC2561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4865CF10" w14:textId="77777777" w:rsidR="00C403CD" w:rsidRPr="007A3B89" w:rsidRDefault="00C403CD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488698" w14:textId="77777777" w:rsidR="00B9194B" w:rsidRDefault="00B9194B" w:rsidP="00B9194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709D2EFC" w14:textId="0EE971F5" w:rsidR="00B9194B" w:rsidRPr="0022045A" w:rsidRDefault="0022045A" w:rsidP="0022045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404C5A" w:rsidRPr="0022045A">
        <w:rPr>
          <w:rFonts w:ascii="Open Sans" w:hAnsi="Open Sans" w:cs="Open Sans"/>
          <w:color w:val="000000" w:themeColor="text1"/>
          <w:sz w:val="20"/>
          <w:szCs w:val="20"/>
        </w:rPr>
        <w:t xml:space="preserve"> aprovação</w:t>
      </w:r>
      <w:r w:rsidRPr="0022045A">
        <w:t xml:space="preserve"> </w:t>
      </w:r>
      <w:r w:rsidRPr="0022045A">
        <w:rPr>
          <w:rFonts w:ascii="Open Sans" w:hAnsi="Open Sans" w:cs="Open Sans"/>
          <w:color w:val="000000" w:themeColor="text1"/>
          <w:sz w:val="20"/>
          <w:szCs w:val="20"/>
        </w:rPr>
        <w:t xml:space="preserve">da concessão de waiver à Devedora no sentido de a Securitizadora abster-se </w:t>
      </w:r>
      <w:r w:rsidRPr="0022045A">
        <w:rPr>
          <w:rFonts w:ascii="Open Sans" w:hAnsi="Open Sans" w:cs="Open Sans"/>
          <w:color w:val="000000" w:themeColor="text1"/>
          <w:sz w:val="20"/>
          <w:szCs w:val="20"/>
        </w:rPr>
        <w:lastRenderedPageBreak/>
        <w:t xml:space="preserve">de exigir a Recompra Compulsória dos Créditos Imobiliários em razão do descumprimento, pela Devedora, das obrigações de reenquadramento do Fundo de Reserva entre outubro de 2024 (inclusive) e </w:t>
      </w:r>
      <w:r w:rsidR="005F3A71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5F3A71" w:rsidRPr="0022045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22045A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</w:p>
    <w:p w14:paraId="59206897" w14:textId="77777777" w:rsidR="00B9194B" w:rsidRDefault="00B9194B" w:rsidP="00B9194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4B594A30" w14:textId="77777777" w:rsidR="00B9194B" w:rsidRPr="007A3B89" w:rsidRDefault="00B9194B" w:rsidP="00B9194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B7FEB67" w14:textId="77777777" w:rsidR="00B9194B" w:rsidRPr="007A3B89" w:rsidRDefault="00B9194B" w:rsidP="00B9194B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232472A" w14:textId="77777777" w:rsidR="00C34D3F" w:rsidRDefault="00C34D3F" w:rsidP="00C34D3F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DE0E17D" w14:textId="2CC58857" w:rsidR="00C34D3F" w:rsidRDefault="00D6214C" w:rsidP="00C34D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04403D" w:rsidRPr="0004403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04403D">
        <w:rPr>
          <w:rFonts w:ascii="Open Sans" w:hAnsi="Open Sans" w:cs="Open Sans"/>
          <w:color w:val="000000" w:themeColor="text1"/>
          <w:sz w:val="20"/>
          <w:szCs w:val="20"/>
        </w:rPr>
        <w:t xml:space="preserve">da concessão de </w:t>
      </w:r>
      <w:r w:rsidR="0004403D" w:rsidRPr="00066D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waiver</w:t>
      </w:r>
      <w:r w:rsidR="0004403D">
        <w:rPr>
          <w:rFonts w:ascii="Open Sans" w:hAnsi="Open Sans" w:cs="Open Sans"/>
          <w:color w:val="000000" w:themeColor="text1"/>
          <w:sz w:val="20"/>
          <w:szCs w:val="20"/>
        </w:rPr>
        <w:t xml:space="preserve"> à Devedora no sentido de a Securitizadora abster-se de exigir a Recompra Compulsória dos Créditos Imobiliários em razão do descumprimento, pela Devedora, das obrigações pecuniárias de Amortização Programada dos CRI entre maio de 2025 e </w:t>
      </w:r>
      <w:r w:rsidR="005F3A71">
        <w:rPr>
          <w:rFonts w:ascii="Open Sans" w:hAnsi="Open Sans" w:cs="Open Sans"/>
          <w:color w:val="000000" w:themeColor="text1"/>
          <w:sz w:val="20"/>
          <w:szCs w:val="20"/>
        </w:rPr>
        <w:t xml:space="preserve">setembro </w:t>
      </w:r>
      <w:r w:rsidR="0004403D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  <w:r w:rsidR="00C34D3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14:paraId="573739F9" w14:textId="77777777" w:rsidR="00C34D3F" w:rsidRDefault="00C34D3F" w:rsidP="00C34D3F">
      <w:pPr>
        <w:pStyle w:val="ListParagraph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CB7DCD2" w14:textId="77777777" w:rsidR="00C34D3F" w:rsidRDefault="00C34D3F" w:rsidP="00C34D3F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49F5C8D" w14:textId="77777777" w:rsidR="00C34D3F" w:rsidRPr="007A3B89" w:rsidRDefault="00C34D3F" w:rsidP="00C34D3F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0AE553A" w14:textId="77777777" w:rsidR="00C34D3F" w:rsidRPr="007A3B89" w:rsidRDefault="00C34D3F" w:rsidP="00C34D3F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B088144" w14:textId="77777777" w:rsidR="00C34D3F" w:rsidRDefault="00C34D3F" w:rsidP="00C34D3F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2152A1B" w14:textId="77777777" w:rsidR="000457B2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0FD08ED" w14:textId="40538603" w:rsidR="000457B2" w:rsidRDefault="00A47BB2" w:rsidP="000457B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 aprovação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 da concessão de </w:t>
      </w:r>
      <w:r w:rsidR="002311B5" w:rsidRPr="00066D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waiver 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à Devedora no sentido de a Securitizadora abster-se de exigir a Recompra Compulsória dos Créditos Imobiliários em razão do inadimplemento, pela Devedora, das obrigações pecuniárias referentes à Amortização Extraordinária dos CRI a título de: </w:t>
      </w:r>
      <w:r w:rsidR="002311B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="002311B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antecipações de pagamentos dos Créditos Imobiliários entre junho de 2024 (inclusive) 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7F6817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(inclusive);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311B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="002311B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Fluxo mensal entre 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abril de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2024 (inclusive) 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7F6817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(inclusive); e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311B5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(c)</w:t>
      </w:r>
      <w:r w:rsidR="002311B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>Saldo Devedor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entre </w:t>
      </w:r>
      <w:r w:rsidR="002311B5">
        <w:rPr>
          <w:rFonts w:ascii="Open Sans" w:hAnsi="Open Sans" w:cs="Open Sans"/>
          <w:color w:val="000000" w:themeColor="text1"/>
          <w:sz w:val="20"/>
          <w:szCs w:val="20"/>
        </w:rPr>
        <w:t xml:space="preserve">março de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2024 (inclusive) 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>setembro</w:t>
      </w:r>
      <w:r w:rsidR="007F6817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311B5" w:rsidRPr="008D0B5B">
        <w:rPr>
          <w:rFonts w:ascii="Open Sans" w:hAnsi="Open Sans" w:cs="Open Sans"/>
          <w:color w:val="000000" w:themeColor="text1"/>
          <w:sz w:val="20"/>
          <w:szCs w:val="20"/>
        </w:rPr>
        <w:t>de 2025 (inclusive</w:t>
      </w:r>
      <w:r w:rsidR="00067F2B">
        <w:rPr>
          <w:rFonts w:ascii="Open Sans" w:hAnsi="Open Sans" w:cs="Open Sans"/>
          <w:color w:val="000000" w:themeColor="text1"/>
          <w:sz w:val="20"/>
          <w:szCs w:val="20"/>
        </w:rPr>
        <w:t>);</w:t>
      </w:r>
    </w:p>
    <w:p w14:paraId="164C5201" w14:textId="77777777" w:rsidR="000457B2" w:rsidRDefault="000457B2" w:rsidP="000457B2">
      <w:pPr>
        <w:pStyle w:val="ListParagraph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8F2A50B" w14:textId="77777777" w:rsidR="000457B2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5FB23EB5" w14:textId="77777777" w:rsidR="000457B2" w:rsidRPr="007A3B89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41C89EF" w14:textId="77777777" w:rsidR="000457B2" w:rsidRPr="007A3B89" w:rsidRDefault="000457B2" w:rsidP="000457B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5E46A0B" w14:textId="77777777" w:rsidR="000457B2" w:rsidRDefault="000457B2" w:rsidP="000457B2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58B3A1F" w14:textId="77777777" w:rsidR="000457B2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94193CD" w14:textId="6F326AB3" w:rsidR="000457B2" w:rsidRDefault="006F6E3E" w:rsidP="000457B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DC437A" w:rsidRPr="0076515E">
        <w:rPr>
          <w:rFonts w:ascii="Open Sans" w:hAnsi="Open Sans" w:cs="Open Sans"/>
          <w:color w:val="000000" w:themeColor="text1"/>
          <w:sz w:val="20"/>
          <w:szCs w:val="20"/>
        </w:rPr>
        <w:t xml:space="preserve"> aprovação</w:t>
      </w:r>
      <w:r w:rsidR="005942FB" w:rsidRPr="005942F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 xml:space="preserve">da suspensão das obrigações pecuniárias da Devedora referentes à Amortização Extraordinária dos CRI a título de: </w:t>
      </w:r>
      <w:r w:rsidR="005942FB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="005942F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antecipações de pagamentos dos Créditos Imobiliários entre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(inclusive);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942FB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="005942F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Fluxo mensal entre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(inclusive); e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942FB" w:rsidRPr="009B5F5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(c)</w:t>
      </w:r>
      <w:r w:rsidR="005942F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reenquadramento da Razão de Garantia de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Saldo Devedor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entre </w:t>
      </w:r>
      <w:r w:rsidR="007F6817">
        <w:rPr>
          <w:rFonts w:ascii="Open Sans" w:hAnsi="Open Sans" w:cs="Open Sans"/>
          <w:color w:val="000000" w:themeColor="text1"/>
          <w:sz w:val="20"/>
          <w:szCs w:val="20"/>
        </w:rPr>
        <w:t xml:space="preserve">outubro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de 2025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maio de 2026</w:t>
      </w:r>
      <w:r w:rsidR="005942FB" w:rsidRPr="008D0B5B">
        <w:rPr>
          <w:rFonts w:ascii="Open Sans" w:hAnsi="Open Sans" w:cs="Open Sans"/>
          <w:color w:val="000000" w:themeColor="text1"/>
          <w:sz w:val="20"/>
          <w:szCs w:val="20"/>
        </w:rPr>
        <w:t xml:space="preserve"> (inclusive)</w:t>
      </w:r>
      <w:r w:rsidR="005942FB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33CFDF76" w14:textId="77777777" w:rsidR="000457B2" w:rsidRDefault="000457B2" w:rsidP="000457B2">
      <w:pPr>
        <w:pStyle w:val="ListParagraph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8BC905A" w14:textId="77777777" w:rsidR="000457B2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4FAA869" w14:textId="77777777" w:rsidR="000457B2" w:rsidRPr="007A3B89" w:rsidRDefault="000457B2" w:rsidP="000457B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F1B8436" w14:textId="77777777" w:rsidR="000457B2" w:rsidRPr="007A3B89" w:rsidRDefault="000457B2" w:rsidP="000457B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E40198B" w14:textId="77777777" w:rsidR="00803FCA" w:rsidRDefault="00803FCA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348280B" w14:textId="254BF43B" w:rsidR="005942FB" w:rsidRDefault="00B00FFF" w:rsidP="005942F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Pr="0076515E">
        <w:rPr>
          <w:rFonts w:ascii="Open Sans" w:hAnsi="Open Sans" w:cs="Open Sans"/>
          <w:color w:val="000000" w:themeColor="text1"/>
          <w:sz w:val="20"/>
          <w:szCs w:val="20"/>
        </w:rPr>
        <w:t xml:space="preserve"> aprovação</w:t>
      </w:r>
      <w:r w:rsidRPr="005942F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da destituição da </w:t>
      </w:r>
      <w:r w:rsidR="006F6E3E"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 w:rsidR="006F6E3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6F6E3E" w:rsidRPr="00D81B42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 w:rsidR="006F6E3E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 w:rsidR="006F6E3E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”), para assunção dos deveres, atribuições e responsabilidades constantes das normas legais e regulatórias aplicáveis, do Termo </w:t>
      </w:r>
      <w:r w:rsidR="006F6E3E" w:rsidRPr="002C6AA3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de Securitização e dos demais Documentos da Operação aplicáveis atualmente à REAG, na qualidade de Agente Fiduciário e de Custodiante, na data da Assembleia e a partir de seu encerramento</w:t>
      </w:r>
      <w:r w:rsidR="006F6E3E">
        <w:rPr>
          <w:rFonts w:ascii="Open Sans" w:hAnsi="Open Sans" w:cs="Open Sans"/>
          <w:color w:val="000000" w:themeColor="text1"/>
          <w:sz w:val="20"/>
          <w:szCs w:val="20"/>
        </w:rPr>
        <w:t>; e</w:t>
      </w:r>
    </w:p>
    <w:p w14:paraId="42351519" w14:textId="77777777" w:rsidR="005942FB" w:rsidRDefault="005942FB" w:rsidP="005942FB">
      <w:pPr>
        <w:pStyle w:val="ListParagraph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9773787" w14:textId="77777777" w:rsidR="005942FB" w:rsidRDefault="005942FB" w:rsidP="005942F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D99E88C" w14:textId="77777777" w:rsidR="005942FB" w:rsidRPr="007A3B89" w:rsidRDefault="005942FB" w:rsidP="005942F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47B06AB" w14:textId="77777777" w:rsidR="005942FB" w:rsidRPr="007A3B89" w:rsidRDefault="005942FB" w:rsidP="005942FB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AA4EF99" w14:textId="77777777" w:rsidR="00B9194B" w:rsidRDefault="00B9194B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38BE10B" w14:textId="18A73EB2" w:rsidR="00B00FFF" w:rsidRPr="00B00FFF" w:rsidRDefault="006F6E3E" w:rsidP="00B00FFF">
      <w:pPr>
        <w:pStyle w:val="ListParagraph"/>
        <w:numPr>
          <w:ilvl w:val="0"/>
          <w:numId w:val="15"/>
        </w:numPr>
        <w:ind w:left="0" w:firstLine="0"/>
        <w:rPr>
          <w:rFonts w:ascii="Open Sans" w:hAnsi="Open Sans" w:cs="Open Sans"/>
          <w:color w:val="000000" w:themeColor="text1"/>
          <w:sz w:val="20"/>
          <w:szCs w:val="20"/>
        </w:rPr>
      </w:pPr>
      <w:r w:rsidRPr="00B00FFF"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B00FFF" w:rsidRPr="00B00FF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00FFF" w:rsidRPr="0076515E">
        <w:rPr>
          <w:rFonts w:ascii="Open Sans" w:hAnsi="Open Sans" w:cs="Open Sans"/>
          <w:color w:val="000000" w:themeColor="text1"/>
          <w:sz w:val="20"/>
          <w:szCs w:val="20"/>
        </w:rPr>
        <w:t>aprovação</w:t>
      </w:r>
      <w:r w:rsidRPr="00B00FF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00FFF" w:rsidRPr="00B00FFF">
        <w:rPr>
          <w:rFonts w:ascii="Open Sans" w:hAnsi="Open Sans" w:cs="Open Sans"/>
          <w:color w:val="000000" w:themeColor="text1"/>
          <w:sz w:val="20"/>
          <w:szCs w:val="20"/>
        </w:rPr>
        <w:t>da autorização para que a Securitizadora, a REAG e a QORE</w:t>
      </w:r>
      <w:r w:rsidR="00B00FF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B00FFF" w:rsidRPr="00B00FFF">
        <w:rPr>
          <w:rFonts w:ascii="Open Sans" w:hAnsi="Open Sans" w:cs="Open Sans"/>
          <w:color w:val="000000" w:themeColor="text1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até a presente data.</w:t>
      </w:r>
    </w:p>
    <w:p w14:paraId="0481A4C9" w14:textId="48452682" w:rsidR="006F6E3E" w:rsidRPr="00B00FFF" w:rsidRDefault="006F6E3E" w:rsidP="00B00FFF">
      <w:pPr>
        <w:pStyle w:val="ListParagraph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C9B69CA" w14:textId="77777777" w:rsidR="006F6E3E" w:rsidRDefault="006F6E3E" w:rsidP="006F6E3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136621E" w14:textId="77777777" w:rsidR="006F6E3E" w:rsidRPr="007A3B89" w:rsidRDefault="006F6E3E" w:rsidP="006F6E3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7AFA6B7" w14:textId="77777777" w:rsidR="006F6E3E" w:rsidRPr="007A3B89" w:rsidRDefault="006F6E3E" w:rsidP="006F6E3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CD2390" w14:textId="77777777" w:rsidR="006F6E3E" w:rsidRDefault="006F6E3E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23810DA" w14:textId="77777777" w:rsidR="00B9194B" w:rsidRPr="007A3B89" w:rsidRDefault="00B9194B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FB0D24" w:rsidRPr="007A3B89" w14:paraId="46CCFA70" w14:textId="77777777" w:rsidTr="00DB18B7">
        <w:tc>
          <w:tcPr>
            <w:tcW w:w="2835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DB18B7">
        <w:tc>
          <w:tcPr>
            <w:tcW w:w="2835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DB18B7">
        <w:tc>
          <w:tcPr>
            <w:tcW w:w="2835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584F369A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>ssembleia Geral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Geral (“AGTCRI” ou “Assembleia”)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d</w:t>
      </w:r>
      <w:r w:rsidR="00BD7A6F"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1C72A9">
        <w:rPr>
          <w:rFonts w:ascii="Open Sans" w:hAnsi="Open Sans" w:cs="Open Sans"/>
          <w:color w:val="000000" w:themeColor="text1"/>
          <w:sz w:val="20"/>
          <w:szCs w:val="20"/>
        </w:rPr>
        <w:t>s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063EE" w:rsidRPr="006063EE">
        <w:rPr>
          <w:rFonts w:ascii="Open Sans" w:hAnsi="Open Sans" w:cs="Open Sans"/>
          <w:color w:val="000000" w:themeColor="text1"/>
          <w:sz w:val="20"/>
          <w:szCs w:val="20"/>
        </w:rPr>
        <w:t>606ª e 607</w:t>
      </w:r>
      <w:r w:rsidR="002B7997" w:rsidRPr="002B7997">
        <w:rPr>
          <w:rFonts w:ascii="Open Sans" w:hAnsi="Open Sans" w:cs="Open Sans"/>
          <w:color w:val="000000" w:themeColor="text1"/>
          <w:sz w:val="20"/>
          <w:szCs w:val="20"/>
        </w:rPr>
        <w:t xml:space="preserve">ª,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6063EE" w:rsidRPr="006063E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ª Emissão 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81AC4" w:rsidRPr="00C823F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>de Créditos Imobiliários da</w:t>
      </w:r>
      <w:r w:rsidR="003E7367" w:rsidRPr="005603A8">
        <w:rPr>
          <w:rFonts w:ascii="Open Sans" w:hAnsi="Open Sans" w:cs="Open Sans"/>
          <w:i/>
          <w:iCs/>
          <w:sz w:val="20"/>
          <w:szCs w:val="20"/>
        </w:rPr>
        <w:t>s</w:t>
      </w:r>
      <w:r w:rsidR="006063EE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6063EE" w:rsidRPr="006063EE">
        <w:rPr>
          <w:rFonts w:ascii="Open Sans" w:hAnsi="Open Sans" w:cs="Open Sans"/>
          <w:color w:val="000000" w:themeColor="text1"/>
          <w:sz w:val="20"/>
          <w:szCs w:val="20"/>
        </w:rPr>
        <w:t>606ª e 607</w:t>
      </w:r>
      <w:r w:rsidR="006063EE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2B7997" w:rsidRPr="002B799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 xml:space="preserve">Séries </w:t>
      </w:r>
      <w:r w:rsidR="00481AC4" w:rsidRPr="006063EE">
        <w:rPr>
          <w:rFonts w:ascii="Open Sans" w:hAnsi="Open Sans" w:cs="Open Sans"/>
          <w:i/>
          <w:iCs/>
          <w:sz w:val="20"/>
          <w:szCs w:val="20"/>
        </w:rPr>
        <w:t xml:space="preserve">da </w:t>
      </w:r>
      <w:r w:rsidR="006063EE" w:rsidRPr="006063EE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5603A8">
        <w:rPr>
          <w:rFonts w:ascii="Open Sans" w:hAnsi="Open Sans" w:cs="Open Sans"/>
          <w:i/>
          <w:iCs/>
          <w:sz w:val="20"/>
          <w:szCs w:val="20"/>
        </w:rPr>
        <w:t>ª Emissão de Certificados de Recebíveis Imobiliários da</w:t>
      </w:r>
      <w:r w:rsidRPr="005603A8">
        <w:rPr>
          <w:rFonts w:ascii="Open Sans" w:hAnsi="Open Sans" w:cs="Open Sans"/>
          <w:i/>
          <w:iCs/>
          <w:sz w:val="20"/>
          <w:szCs w:val="20"/>
        </w:rPr>
        <w:t xml:space="preserve"> Forte Securitizadora S.A.</w:t>
      </w:r>
      <w:r w:rsidRPr="005603A8">
        <w:rPr>
          <w:rFonts w:ascii="Open Sans" w:hAnsi="Open Sans" w:cs="Open Sans"/>
          <w:iCs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DC023B">
        <w:rPr>
          <w:rFonts w:ascii="Open Sans" w:hAnsi="Open Sans" w:cs="Open Sans"/>
          <w:sz w:val="20"/>
          <w:szCs w:val="20"/>
        </w:rPr>
        <w:t xml:space="preserve">datado de </w:t>
      </w:r>
      <w:r w:rsidR="00580874" w:rsidRPr="00580874">
        <w:rPr>
          <w:rFonts w:ascii="Open Sans" w:hAnsi="Open Sans" w:cs="Open Sans"/>
          <w:color w:val="000000" w:themeColor="text1"/>
          <w:sz w:val="20"/>
          <w:szCs w:val="20"/>
        </w:rPr>
        <w:t>04 de agosto de 2021</w:t>
      </w:r>
      <w:r w:rsidR="00DC023B">
        <w:rPr>
          <w:rFonts w:ascii="Open Sans" w:hAnsi="Open Sans" w:cs="Open Sans"/>
          <w:sz w:val="20"/>
          <w:szCs w:val="20"/>
        </w:rPr>
        <w:t xml:space="preserve">, </w:t>
      </w:r>
      <w:r w:rsidR="00037358">
        <w:rPr>
          <w:rFonts w:ascii="Open Sans" w:hAnsi="Open Sans" w:cs="Open Sans"/>
          <w:sz w:val="20"/>
          <w:szCs w:val="20"/>
        </w:rPr>
        <w:t>conforme aditado</w:t>
      </w:r>
      <w:r w:rsidR="00C97EB7" w:rsidRPr="005603A8">
        <w:rPr>
          <w:rFonts w:ascii="Open Sans" w:hAnsi="Open Sans" w:cs="Open Sans"/>
          <w:sz w:val="20"/>
          <w:szCs w:val="20"/>
        </w:rPr>
        <w:t>,</w:t>
      </w:r>
      <w:r w:rsidR="00B26FBF" w:rsidRPr="005603A8">
        <w:rPr>
          <w:rFonts w:ascii="Open Sans" w:hAnsi="Open Sans" w:cs="Open Sans"/>
          <w:sz w:val="20"/>
          <w:szCs w:val="20"/>
        </w:rPr>
        <w:t xml:space="preserve"> </w:t>
      </w:r>
      <w:r w:rsidRPr="005603A8">
        <w:rPr>
          <w:rFonts w:ascii="Open Sans" w:hAnsi="Open Sans" w:cs="Open Sans"/>
          <w:sz w:val="20"/>
          <w:szCs w:val="20"/>
        </w:rPr>
        <w:t xml:space="preserve">entre a Emissora e a </w:t>
      </w:r>
      <w:r w:rsidR="00867472" w:rsidRPr="00867472">
        <w:rPr>
          <w:rFonts w:ascii="Open Sans" w:hAnsi="Open Sans" w:cs="Open Sans"/>
          <w:color w:val="000000" w:themeColor="text1"/>
          <w:sz w:val="20"/>
          <w:szCs w:val="20"/>
        </w:rPr>
        <w:t>REAG Distribuidora De Títulos E Valores Mobiliários S/A</w:t>
      </w:r>
      <w:r w:rsidR="00867472">
        <w:rPr>
          <w:rFonts w:ascii="Open Sans" w:hAnsi="Open Sans" w:cs="Open Sans"/>
          <w:sz w:val="20"/>
          <w:szCs w:val="20"/>
        </w:rPr>
        <w:t>, conforme aditado</w:t>
      </w:r>
      <w:r w:rsidR="00D06E52" w:rsidRPr="008F7527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757A4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Voto e de todos os documentos que a acompanham, em formato eletrônico, conforme indicado acima. </w:t>
      </w:r>
    </w:p>
    <w:p w14:paraId="1304F57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C934" w14:textId="77777777" w:rsidR="00ED4AC1" w:rsidRDefault="00ED4AC1" w:rsidP="00421DD1">
      <w:r>
        <w:separator/>
      </w:r>
    </w:p>
  </w:endnote>
  <w:endnote w:type="continuationSeparator" w:id="0">
    <w:p w14:paraId="24BDAFC2" w14:textId="77777777" w:rsidR="00ED4AC1" w:rsidRDefault="00ED4AC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C24983" w:rsidRDefault="001306A5" w:rsidP="00B667EE">
            <w:pPr>
              <w:pStyle w:val="Footer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2E58" w14:textId="77777777" w:rsidR="00ED4AC1" w:rsidRDefault="00ED4AC1" w:rsidP="00421DD1">
      <w:r>
        <w:separator/>
      </w:r>
    </w:p>
  </w:footnote>
  <w:footnote w:type="continuationSeparator" w:id="0">
    <w:p w14:paraId="40AE7D1F" w14:textId="77777777" w:rsidR="00ED4AC1" w:rsidRDefault="00ED4AC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77777777" w:rsidR="00C24983" w:rsidRDefault="001306A5" w:rsidP="00B667EE">
    <w:pPr>
      <w:pStyle w:val="Header"/>
      <w:jc w:val="center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5D37C12B" wp14:editId="3EFA866F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8C867" w14:textId="77777777" w:rsidR="00C24983" w:rsidRDefault="00C2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950A8"/>
    <w:multiLevelType w:val="hybridMultilevel"/>
    <w:tmpl w:val="FD204AEC"/>
    <w:lvl w:ilvl="0" w:tplc="A238B272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EA5F46"/>
    <w:multiLevelType w:val="hybridMultilevel"/>
    <w:tmpl w:val="B3D6B68A"/>
    <w:lvl w:ilvl="0" w:tplc="F3406B8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8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3"/>
  </w:num>
  <w:num w:numId="9" w16cid:durableId="1076433941">
    <w:abstractNumId w:val="9"/>
  </w:num>
  <w:num w:numId="10" w16cid:durableId="1870993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7"/>
  </w:num>
  <w:num w:numId="13" w16cid:durableId="2060321044">
    <w:abstractNumId w:val="12"/>
  </w:num>
  <w:num w:numId="14" w16cid:durableId="173958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5441862">
    <w:abstractNumId w:val="6"/>
  </w:num>
  <w:num w:numId="16" w16cid:durableId="169714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5CD8"/>
    <w:rsid w:val="00006426"/>
    <w:rsid w:val="000072AF"/>
    <w:rsid w:val="00032FB4"/>
    <w:rsid w:val="000334DF"/>
    <w:rsid w:val="00037358"/>
    <w:rsid w:val="0004143F"/>
    <w:rsid w:val="0004230C"/>
    <w:rsid w:val="0004403D"/>
    <w:rsid w:val="000457B2"/>
    <w:rsid w:val="000604A2"/>
    <w:rsid w:val="00067F2B"/>
    <w:rsid w:val="000728FB"/>
    <w:rsid w:val="000733AC"/>
    <w:rsid w:val="00085619"/>
    <w:rsid w:val="000876FB"/>
    <w:rsid w:val="000A24E0"/>
    <w:rsid w:val="000B198B"/>
    <w:rsid w:val="000B2178"/>
    <w:rsid w:val="000B28B4"/>
    <w:rsid w:val="000B7506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21850"/>
    <w:rsid w:val="001306A5"/>
    <w:rsid w:val="00135CED"/>
    <w:rsid w:val="00136BE7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3DF5"/>
    <w:rsid w:val="001A3ED7"/>
    <w:rsid w:val="001B6CCE"/>
    <w:rsid w:val="001C3567"/>
    <w:rsid w:val="001C72A9"/>
    <w:rsid w:val="001D2B7F"/>
    <w:rsid w:val="001E125A"/>
    <w:rsid w:val="001E3E7C"/>
    <w:rsid w:val="001F020C"/>
    <w:rsid w:val="00207A8F"/>
    <w:rsid w:val="002137BE"/>
    <w:rsid w:val="002178FA"/>
    <w:rsid w:val="0022045A"/>
    <w:rsid w:val="002234F8"/>
    <w:rsid w:val="002311B5"/>
    <w:rsid w:val="002324A3"/>
    <w:rsid w:val="00234F32"/>
    <w:rsid w:val="002408B2"/>
    <w:rsid w:val="0024169B"/>
    <w:rsid w:val="002422F0"/>
    <w:rsid w:val="0024299D"/>
    <w:rsid w:val="00245C1D"/>
    <w:rsid w:val="00262A56"/>
    <w:rsid w:val="00275C9C"/>
    <w:rsid w:val="00283472"/>
    <w:rsid w:val="00284A4D"/>
    <w:rsid w:val="00287D67"/>
    <w:rsid w:val="00292A8C"/>
    <w:rsid w:val="00297076"/>
    <w:rsid w:val="002A7962"/>
    <w:rsid w:val="002B483B"/>
    <w:rsid w:val="002B7997"/>
    <w:rsid w:val="002C41E1"/>
    <w:rsid w:val="002C5EA8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BBD"/>
    <w:rsid w:val="00382222"/>
    <w:rsid w:val="003854BB"/>
    <w:rsid w:val="003955DD"/>
    <w:rsid w:val="0039607F"/>
    <w:rsid w:val="003A2265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404C5A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66FEA"/>
    <w:rsid w:val="00473A65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874"/>
    <w:rsid w:val="005868B0"/>
    <w:rsid w:val="005942FB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6215"/>
    <w:rsid w:val="005F3A71"/>
    <w:rsid w:val="005F4380"/>
    <w:rsid w:val="005F43DF"/>
    <w:rsid w:val="005F778A"/>
    <w:rsid w:val="0060598F"/>
    <w:rsid w:val="006063EE"/>
    <w:rsid w:val="00607502"/>
    <w:rsid w:val="00616E44"/>
    <w:rsid w:val="00624069"/>
    <w:rsid w:val="00624D73"/>
    <w:rsid w:val="006501DC"/>
    <w:rsid w:val="006506D4"/>
    <w:rsid w:val="00650D59"/>
    <w:rsid w:val="00653819"/>
    <w:rsid w:val="00662D2D"/>
    <w:rsid w:val="0066565B"/>
    <w:rsid w:val="0066631F"/>
    <w:rsid w:val="006866FD"/>
    <w:rsid w:val="00690690"/>
    <w:rsid w:val="00691921"/>
    <w:rsid w:val="006C5150"/>
    <w:rsid w:val="006C7A91"/>
    <w:rsid w:val="006D39DD"/>
    <w:rsid w:val="006F1735"/>
    <w:rsid w:val="006F3165"/>
    <w:rsid w:val="006F6E3E"/>
    <w:rsid w:val="00703F00"/>
    <w:rsid w:val="00711F1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2941"/>
    <w:rsid w:val="007F378B"/>
    <w:rsid w:val="007F57D3"/>
    <w:rsid w:val="007F5A7D"/>
    <w:rsid w:val="007F6817"/>
    <w:rsid w:val="007F75F2"/>
    <w:rsid w:val="008012BE"/>
    <w:rsid w:val="00803FCA"/>
    <w:rsid w:val="00807E95"/>
    <w:rsid w:val="008139B6"/>
    <w:rsid w:val="0082045C"/>
    <w:rsid w:val="00840295"/>
    <w:rsid w:val="00847395"/>
    <w:rsid w:val="008574ED"/>
    <w:rsid w:val="00860FA0"/>
    <w:rsid w:val="0086322A"/>
    <w:rsid w:val="00867472"/>
    <w:rsid w:val="00871DF6"/>
    <w:rsid w:val="00890ADF"/>
    <w:rsid w:val="00890E4B"/>
    <w:rsid w:val="00894061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792D"/>
    <w:rsid w:val="00950178"/>
    <w:rsid w:val="009522C1"/>
    <w:rsid w:val="009528BA"/>
    <w:rsid w:val="009618CF"/>
    <w:rsid w:val="0096205A"/>
    <w:rsid w:val="009620A7"/>
    <w:rsid w:val="009710B4"/>
    <w:rsid w:val="00971D69"/>
    <w:rsid w:val="00981760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41DB"/>
    <w:rsid w:val="009F6304"/>
    <w:rsid w:val="00A036BA"/>
    <w:rsid w:val="00A1394D"/>
    <w:rsid w:val="00A16A23"/>
    <w:rsid w:val="00A33A4A"/>
    <w:rsid w:val="00A47BB2"/>
    <w:rsid w:val="00A61AC7"/>
    <w:rsid w:val="00A640C4"/>
    <w:rsid w:val="00A646AF"/>
    <w:rsid w:val="00A80260"/>
    <w:rsid w:val="00A94B13"/>
    <w:rsid w:val="00A95826"/>
    <w:rsid w:val="00A964AD"/>
    <w:rsid w:val="00AA7020"/>
    <w:rsid w:val="00AB33CC"/>
    <w:rsid w:val="00AC51E1"/>
    <w:rsid w:val="00AC6D95"/>
    <w:rsid w:val="00AD2A2E"/>
    <w:rsid w:val="00AF1712"/>
    <w:rsid w:val="00AF1BF6"/>
    <w:rsid w:val="00AF1D2E"/>
    <w:rsid w:val="00AF29D9"/>
    <w:rsid w:val="00B00FFF"/>
    <w:rsid w:val="00B0580D"/>
    <w:rsid w:val="00B1061E"/>
    <w:rsid w:val="00B116E8"/>
    <w:rsid w:val="00B15C01"/>
    <w:rsid w:val="00B26FBF"/>
    <w:rsid w:val="00B31430"/>
    <w:rsid w:val="00B36D7F"/>
    <w:rsid w:val="00B4515C"/>
    <w:rsid w:val="00B63CA6"/>
    <w:rsid w:val="00B70208"/>
    <w:rsid w:val="00B715C6"/>
    <w:rsid w:val="00B87750"/>
    <w:rsid w:val="00B9194B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24983"/>
    <w:rsid w:val="00C27A78"/>
    <w:rsid w:val="00C3003E"/>
    <w:rsid w:val="00C31AAA"/>
    <w:rsid w:val="00C34D3F"/>
    <w:rsid w:val="00C403CD"/>
    <w:rsid w:val="00C41816"/>
    <w:rsid w:val="00C42CED"/>
    <w:rsid w:val="00C61A29"/>
    <w:rsid w:val="00C80162"/>
    <w:rsid w:val="00C80210"/>
    <w:rsid w:val="00C823F1"/>
    <w:rsid w:val="00C9245B"/>
    <w:rsid w:val="00C96AD9"/>
    <w:rsid w:val="00C97EB7"/>
    <w:rsid w:val="00CA6105"/>
    <w:rsid w:val="00CB2856"/>
    <w:rsid w:val="00CB432E"/>
    <w:rsid w:val="00CC2561"/>
    <w:rsid w:val="00CC7C51"/>
    <w:rsid w:val="00CE23C9"/>
    <w:rsid w:val="00CE2F12"/>
    <w:rsid w:val="00CF7875"/>
    <w:rsid w:val="00CF78BE"/>
    <w:rsid w:val="00CF7DFC"/>
    <w:rsid w:val="00D00339"/>
    <w:rsid w:val="00D02935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214C"/>
    <w:rsid w:val="00D6332B"/>
    <w:rsid w:val="00D67F7A"/>
    <w:rsid w:val="00D73198"/>
    <w:rsid w:val="00D92C2E"/>
    <w:rsid w:val="00D96E5D"/>
    <w:rsid w:val="00DB2915"/>
    <w:rsid w:val="00DB48C7"/>
    <w:rsid w:val="00DB7A87"/>
    <w:rsid w:val="00DC023B"/>
    <w:rsid w:val="00DC437A"/>
    <w:rsid w:val="00DD08DA"/>
    <w:rsid w:val="00DF608D"/>
    <w:rsid w:val="00DF651C"/>
    <w:rsid w:val="00E01E0D"/>
    <w:rsid w:val="00E02B84"/>
    <w:rsid w:val="00E04800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4E49"/>
    <w:rsid w:val="00E7670C"/>
    <w:rsid w:val="00E82114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D4AC1"/>
    <w:rsid w:val="00EF3527"/>
    <w:rsid w:val="00F04446"/>
    <w:rsid w:val="00F074AB"/>
    <w:rsid w:val="00F10B35"/>
    <w:rsid w:val="00F153D8"/>
    <w:rsid w:val="00F2129D"/>
    <w:rsid w:val="00F343EF"/>
    <w:rsid w:val="00F41120"/>
    <w:rsid w:val="00F45D90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D1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DD1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DefaultParagraphFont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ListParagraph">
    <w:name w:val="List Paragraph"/>
    <w:aliases w:val="Vitor Título,Vitor T’tulo"/>
    <w:basedOn w:val="Normal"/>
    <w:link w:val="ListParagraph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leGrid">
    <w:name w:val="Table Grid"/>
    <w:basedOn w:val="Table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NoSpacing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ListParagraphChar">
    <w:name w:val="List Paragraph Char"/>
    <w:aliases w:val="Vitor Título Char,Vitor T’tulo Char"/>
    <w:link w:val="ListParagraph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A94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UnresolvedMention">
    <w:name w:val="Unresolved Mention"/>
    <w:basedOn w:val="DefaultParagraphFont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ion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FSV622TP5J5Y-1298124658-146961</_dlc_DocId>
    <_dlc_DocIdUrl xmlns="63cd3888-6dce-4879-9d02-778ca5cf9668">
      <Url>https://contatofortesec.sharepoint.com/sites/Juridico/_layouts/15/DocIdRedir.aspx?ID=FSV622TP5J5Y-1298124658-146961</Url>
      <Description>FSV622TP5J5Y-1298124658-146961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0D98E-8C22-47F4-A419-1D610F06A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Matheus Borghi</cp:lastModifiedBy>
  <cp:revision>77</cp:revision>
  <cp:lastPrinted>2023-01-06T12:56:00Z</cp:lastPrinted>
  <dcterms:created xsi:type="dcterms:W3CDTF">2022-09-20T22:13:00Z</dcterms:created>
  <dcterms:modified xsi:type="dcterms:W3CDTF">2025-09-09T21:39:00Z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2a5bcba7-5041-48ec-b2c8-fc04a1df372a</vt:lpwstr>
  </property>
  <property fmtid="{D5CDD505-2E9C-101B-9397-08002B2CF9AE}" pid="5" name="MediaServiceImageTags">
    <vt:lpwstr/>
  </property>
</Properties>
</file>