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44E9D874" w:rsidR="00FB0D24" w:rsidRPr="009E1331" w:rsidRDefault="0086426B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9E1331">
        <w:rPr>
          <w:rFonts w:ascii="Open Sans" w:hAnsi="Open Sans" w:cs="Open Sans"/>
          <w:b/>
          <w:sz w:val="20"/>
          <w:szCs w:val="20"/>
        </w:rPr>
        <w:t>FORTE SECURITIZADORA</w:t>
      </w:r>
      <w:r w:rsidR="006B1F84" w:rsidRPr="009E1331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26EF2DEF" w:rsidR="00FB0D24" w:rsidRPr="009E1331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9E1331">
        <w:rPr>
          <w:rFonts w:ascii="Open Sans" w:hAnsi="Open Sans" w:cs="Open Sans"/>
          <w:sz w:val="20"/>
          <w:szCs w:val="20"/>
        </w:rPr>
        <w:t xml:space="preserve">CNPJ/ME nº </w:t>
      </w:r>
      <w:r w:rsidR="006B1F84" w:rsidRPr="009E1331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68C97F57" w:rsidR="00FB0D24" w:rsidRPr="009E1331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9E1331">
        <w:rPr>
          <w:rFonts w:ascii="Open Sans" w:hAnsi="Open Sans" w:cs="Open Sans"/>
          <w:sz w:val="20"/>
          <w:szCs w:val="20"/>
        </w:rPr>
        <w:t xml:space="preserve">NIRE </w:t>
      </w:r>
      <w:r w:rsidR="006B1F84" w:rsidRPr="009E1331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9E1331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9E1331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9E1331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9E1331">
        <w:rPr>
          <w:rFonts w:ascii="Open Sans" w:hAnsi="Open Sans" w:cs="Open Sans"/>
          <w:b/>
          <w:caps/>
          <w:sz w:val="20"/>
          <w:szCs w:val="20"/>
        </w:rPr>
        <w:t>A</w:t>
      </w:r>
      <w:r w:rsidRPr="009E1331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9E1331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2C692E5C" w14:textId="32B10A33" w:rsidR="000408C5" w:rsidRPr="007A3B89" w:rsidRDefault="00FB0D24" w:rsidP="000408C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9E1331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6B1F84" w:rsidRPr="009E1331">
        <w:rPr>
          <w:rFonts w:ascii="Open Sans" w:hAnsi="Open Sans" w:cs="Open Sans"/>
          <w:b/>
          <w:bCs/>
          <w:sz w:val="20"/>
          <w:szCs w:val="20"/>
        </w:rPr>
        <w:t>168ª, 169ª, 170ª, 171ª, 172ª e 173ª</w:t>
      </w:r>
      <w:r w:rsidR="005C73E3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6B1F84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86426B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6B1F84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9E1331">
        <w:rPr>
          <w:rFonts w:ascii="Open Sans" w:hAnsi="Open Sans" w:cs="Open Sans"/>
          <w:b/>
          <w:sz w:val="20"/>
          <w:szCs w:val="20"/>
        </w:rPr>
        <w:t>,</w:t>
      </w:r>
      <w:r w:rsidRPr="009E1331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9E1331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9E1331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9E1331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9E1331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6B1F84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F87A9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8</w:t>
      </w:r>
      <w:r w:rsidR="006B1F84" w:rsidRPr="009E133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0408C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0408C5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4A0646" w14:textId="6DF3767E" w:rsidR="00AB0AB2" w:rsidRDefault="00AB0AB2" w:rsidP="000C57D0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D95B40">
        <w:rPr>
          <w:rFonts w:ascii="Open Sans" w:hAnsi="Open Sans" w:cs="Open Sans"/>
          <w:sz w:val="20"/>
          <w:szCs w:val="20"/>
        </w:rPr>
        <w:t>a</w:t>
      </w:r>
      <w:r w:rsidR="00D95B40">
        <w:rPr>
          <w:rFonts w:ascii="Open Sans" w:hAnsi="Open Sans" w:cs="Open Sans"/>
          <w:sz w:val="20"/>
          <w:szCs w:val="20"/>
        </w:rPr>
        <w:t>provar</w:t>
      </w:r>
      <w:r w:rsidRPr="00D95B40">
        <w:rPr>
          <w:rFonts w:ascii="Open Sans" w:hAnsi="Open Sans" w:cs="Open Sans"/>
          <w:sz w:val="20"/>
          <w:szCs w:val="20"/>
        </w:rPr>
        <w:t xml:space="preserve"> </w:t>
      </w:r>
      <w:r w:rsidR="00D95B40" w:rsidRPr="006C4B6F">
        <w:rPr>
          <w:rFonts w:ascii="Open Sans" w:hAnsi="Open Sans" w:cs="Open Sans"/>
          <w:sz w:val="20"/>
          <w:szCs w:val="20"/>
        </w:rPr>
        <w:t>as Demonstrações Financeiras do Patrimônio Separado referentes ao exercício encerrado em 30/06/2025 (“</w:t>
      </w:r>
      <w:r w:rsidR="00D95B40" w:rsidRPr="006C4B6F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="00D95B40" w:rsidRPr="006C4B6F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D95B40" w:rsidRPr="006C4B6F">
          <w:rPr>
            <w:rStyle w:val="Hyperlink"/>
            <w:rFonts w:ascii="Open Sans" w:hAnsi="Open Sans" w:cs="Open Sans"/>
            <w:sz w:val="20"/>
            <w:szCs w:val="20"/>
          </w:rPr>
          <w:t>https://fortesec.com.br/relacao-investidor/</w:t>
        </w:r>
      </w:hyperlink>
      <w:r w:rsidR="00D95B40" w:rsidRPr="006C4B6F">
        <w:rPr>
          <w:rFonts w:ascii="Open Sans" w:hAnsi="Open Sans" w:cs="Open Sans"/>
          <w:sz w:val="20"/>
          <w:szCs w:val="20"/>
        </w:rPr>
        <w:t xml:space="preserve">) </w:t>
      </w:r>
      <w:r w:rsidR="00D95B40" w:rsidRPr="006C4B6F">
        <w:rPr>
          <w:rFonts w:ascii="Open Sans" w:hAnsi="Open Sans" w:cs="Open Sans"/>
          <w:b/>
          <w:bCs/>
          <w:sz w:val="20"/>
          <w:szCs w:val="20"/>
        </w:rPr>
        <w:t>com abstenção de opinião</w:t>
      </w:r>
      <w:r w:rsidR="00D95B40" w:rsidRPr="006C4B6F">
        <w:rPr>
          <w:rFonts w:ascii="Open Sans" w:hAnsi="Open Sans" w:cs="Open Sans"/>
          <w:sz w:val="20"/>
          <w:szCs w:val="20"/>
        </w:rPr>
        <w:t>, observada a base para abstenção de opinião colacionada abaixo,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D95B40">
        <w:rPr>
          <w:rFonts w:ascii="Open Sans" w:hAnsi="Open Sans" w:cs="Open Sans"/>
          <w:sz w:val="20"/>
          <w:szCs w:val="20"/>
        </w:rPr>
        <w:t>.</w:t>
      </w:r>
    </w:p>
    <w:p w14:paraId="4E1C4403" w14:textId="77777777" w:rsidR="00D95B40" w:rsidRDefault="00D95B40" w:rsidP="00D95B40">
      <w:pPr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0B9AC256" w14:textId="77777777" w:rsidR="0042282B" w:rsidRPr="006C4B6F" w:rsidRDefault="0042282B" w:rsidP="0042282B">
      <w:pPr>
        <w:pStyle w:val="PargrafodaLista"/>
        <w:ind w:left="1418"/>
        <w:contextualSpacing/>
        <w:jc w:val="both"/>
        <w:rPr>
          <w:rFonts w:ascii="Open Sans" w:hAnsi="Open Sans" w:cs="Open Sans"/>
          <w:b/>
          <w:bCs/>
          <w:i/>
          <w:iCs/>
          <w:sz w:val="18"/>
          <w:szCs w:val="18"/>
        </w:rPr>
      </w:pPr>
      <w:r w:rsidRPr="006C4B6F">
        <w:rPr>
          <w:rFonts w:ascii="Open Sans" w:hAnsi="Open Sans" w:cs="Open Sans"/>
          <w:b/>
          <w:bCs/>
          <w:i/>
          <w:iCs/>
          <w:sz w:val="18"/>
          <w:szCs w:val="18"/>
        </w:rPr>
        <w:t>Base para abstenção de opinião</w:t>
      </w:r>
    </w:p>
    <w:p w14:paraId="4B1E2732" w14:textId="77777777" w:rsidR="0042282B" w:rsidRPr="006C4B6F" w:rsidRDefault="0042282B" w:rsidP="0042282B">
      <w:pPr>
        <w:pStyle w:val="PargrafodaLista"/>
        <w:ind w:left="1418"/>
        <w:contextualSpacing/>
        <w:jc w:val="both"/>
        <w:rPr>
          <w:rFonts w:ascii="Open Sans" w:hAnsi="Open Sans" w:cs="Open Sans"/>
          <w:i/>
          <w:iCs/>
          <w:sz w:val="18"/>
          <w:szCs w:val="18"/>
        </w:rPr>
      </w:pPr>
      <w:r w:rsidRPr="006C4B6F">
        <w:rPr>
          <w:rFonts w:ascii="Open Sans" w:hAnsi="Open Sans" w:cs="Open Sans"/>
          <w:i/>
          <w:iCs/>
          <w:sz w:val="18"/>
          <w:szCs w:val="18"/>
        </w:rPr>
        <w:t>Conforme nota explicativa nº 5, o patrimônio separado possui valores a receber decorrente de cédula de crédito imobiliário no montante de R$ 65.813 mil. Até a data de emissão deste relatório não nos foram apresentadas documentações apropriadas e suficientes para verificar a existência e suficiência desses ativos. Desta forma, não nos foi possível, através de procedimentos alternativos de auditoria, determinar os eventuais ajustes e itens de divulgação, se houver, nas demonstrações financeiras do Patrimônio Separado tomadas em conjunto.</w:t>
      </w:r>
    </w:p>
    <w:p w14:paraId="5ED28DB7" w14:textId="77777777" w:rsidR="0042282B" w:rsidRPr="006C4B6F" w:rsidRDefault="0042282B" w:rsidP="0042282B">
      <w:pPr>
        <w:pStyle w:val="PargrafodaLista"/>
        <w:ind w:left="1418"/>
        <w:contextualSpacing/>
        <w:jc w:val="both"/>
        <w:rPr>
          <w:rFonts w:ascii="Open Sans" w:hAnsi="Open Sans" w:cs="Open Sans"/>
          <w:i/>
          <w:iCs/>
          <w:sz w:val="18"/>
          <w:szCs w:val="18"/>
        </w:rPr>
      </w:pPr>
      <w:r w:rsidRPr="006C4B6F">
        <w:rPr>
          <w:rFonts w:ascii="Open Sans" w:hAnsi="Open Sans" w:cs="Open Sans"/>
          <w:i/>
          <w:iCs/>
          <w:sz w:val="18"/>
          <w:szCs w:val="18"/>
        </w:rPr>
        <w:t>Adicionalmente, conforme Nota Explicativa nº 13, a Forte Securitizadora S.A., na qualidade de emissora, ajuizou ação de execução de título extrajudicial com pedido de arresto cautelar contra a Cedente e os garantidores, determinando medidas como bloqueio de bens e preservação de garantias. A continuidade do Patrimônio Separado está condicionada ao êxito dessa ação.</w:t>
      </w:r>
    </w:p>
    <w:p w14:paraId="18443465" w14:textId="77777777" w:rsidR="0042282B" w:rsidRDefault="0042282B" w:rsidP="00D95B40">
      <w:pPr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lastRenderedPageBreak/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845154F" w14:textId="77777777" w:rsidR="00D95B40" w:rsidRDefault="00D95B40" w:rsidP="00D95B40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4DFC55EE" w14:textId="77777777" w:rsidR="00464AD5" w:rsidRDefault="00464AD5" w:rsidP="00464AD5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O Agente Fiduciário questiona o Titular de CRI se este tem ciência acerca de qualquer hipótese que poderia ser caracterizada como conflito de interesses em relação das matérias da Ordem do Dia e demais partes da operação, bem como entre partes relacionadas, conforme definição prevista na Resolução CVM 94/2022 – Pronunciamento Técnico CPC 05, bem como no art. 32 da Resolução CVM 60/2021, ao artigo 115 §1º da Lei 6.404/76.</w:t>
      </w:r>
    </w:p>
    <w:p w14:paraId="64797CAD" w14:textId="77777777" w:rsidR="00464AD5" w:rsidRPr="00DC79B2" w:rsidRDefault="00464AD5" w:rsidP="00464AD5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23B0E44C" w14:textId="77777777" w:rsidR="00464AD5" w:rsidRPr="00DC79B2" w:rsidRDefault="00464AD5" w:rsidP="00464AD5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Não conheço nenhuma situação de conflito </w:t>
      </w:r>
      <w: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ab/>
      </w: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Conheço alguma situação de conflito</w:t>
      </w:r>
    </w:p>
    <w:p w14:paraId="5432FD38" w14:textId="77777777" w:rsidR="00464AD5" w:rsidRDefault="00464AD5" w:rsidP="00464AD5">
      <w:pPr>
        <w:jc w:val="center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(selecionar apenas uma das opções anteriores)</w:t>
      </w:r>
    </w:p>
    <w:p w14:paraId="43291D5E" w14:textId="77777777" w:rsidR="00464AD5" w:rsidRDefault="00464AD5" w:rsidP="00464AD5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B5878B1" w14:textId="77777777" w:rsidR="00464AD5" w:rsidRDefault="00464AD5" w:rsidP="00464AD5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noProof/>
          <w:sz w:val="20"/>
          <w:szCs w:val="20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D982C6" wp14:editId="7E7AB799">
                <wp:simplePos x="0" y="0"/>
                <wp:positionH relativeFrom="margin">
                  <wp:align>right</wp:align>
                </wp:positionH>
                <wp:positionV relativeFrom="paragraph">
                  <wp:posOffset>553720</wp:posOffset>
                </wp:positionV>
                <wp:extent cx="5695950" cy="1404620"/>
                <wp:effectExtent l="0" t="0" r="1905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DFE4E" w14:textId="77777777" w:rsidR="00464AD5" w:rsidRDefault="00464AD5" w:rsidP="00464AD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D982C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7.3pt;margin-top:43.6pt;width:44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">
                <v:textbox style="mso-fit-shape-to-text:t">
                  <w:txbxContent>
                    <w:p w14:paraId="432DFE4E" w14:textId="77777777" w:rsidR="00464AD5" w:rsidRDefault="00464AD5" w:rsidP="00464AD5"/>
                  </w:txbxContent>
                </v:textbox>
                <w10:wrap type="square" anchorx="margin"/>
              </v:shape>
            </w:pict>
          </mc:Fallback>
        </mc:AlternateConten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Em caso de resposta positiva, favor especificar a situação na qual estaria configurado o conflito de interesse:</w:t>
      </w:r>
    </w:p>
    <w:p w14:paraId="2C1AD41A" w14:textId="77777777" w:rsidR="00464AD5" w:rsidRDefault="00464AD5" w:rsidP="00464AD5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47ACF5" w14:textId="77777777" w:rsidR="00464AD5" w:rsidRDefault="00464AD5" w:rsidP="00464AD5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O Titular de CRI tem ciência de que as deliberações a serem tomadas em Assembleia são aprovadas respeitando os quóruns específicos estabelecidos no Termo de Securitização e que, ao se manifestar por meio da presente Instrução de Voto a Distância, ainda que sua manifestação tenha sido apenas de aprovar, abster-se ou reprovar a Ordem do Dia, sem quaisquer ressalvas, poderá eventualmente ser obrigado a acatar eventuais condicionantes e/ou ressalvas a respeito das deliberações, que sejam discutidas e aprovadas pelos demais investidores no momento da Assembleia, conforme quórum aplicável.</w:t>
      </w:r>
    </w:p>
    <w:p w14:paraId="04C2FFBC" w14:textId="77777777" w:rsidR="00464AD5" w:rsidRDefault="00464AD5" w:rsidP="00464AD5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6B367A81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B36A6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AB36A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AB36A6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AB36A6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AB36A6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AB36A6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6B1F84" w:rsidRPr="00AB36A6">
        <w:rPr>
          <w:rFonts w:ascii="Open Sans" w:hAnsi="Open Sans" w:cs="Open Sans"/>
          <w:color w:val="000000" w:themeColor="text1"/>
          <w:sz w:val="20"/>
          <w:szCs w:val="20"/>
        </w:rPr>
        <w:t>168ª, 169ª, 170ª, 171ª, 172ª e 173ª</w:t>
      </w:r>
      <w:r w:rsidR="00077D12" w:rsidRPr="00AB36A6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AB36A6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6B1F84" w:rsidRPr="00AB36A6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AB36A6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6B1F84" w:rsidRPr="00AB36A6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AB36A6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AB36A6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AB36A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AB36A6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AB36A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AB36A6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AB36A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AB36A6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6B1F84" w:rsidRPr="00AB36A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AB36A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AB36A6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6B1F84" w:rsidRPr="00AB36A6">
        <w:rPr>
          <w:rFonts w:ascii="Open Sans" w:hAnsi="Open Sans" w:cs="Open Sans"/>
          <w:color w:val="000000" w:themeColor="text1"/>
          <w:sz w:val="20"/>
          <w:szCs w:val="20"/>
        </w:rPr>
        <w:t>168ª, 169ª, 170ª, 171ª, 172ª e 173ª</w:t>
      </w:r>
      <w:r w:rsidR="00077D12" w:rsidRPr="00AB36A6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AB36A6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6B1F84" w:rsidRPr="00AB36A6">
        <w:rPr>
          <w:rFonts w:ascii="Open Sans" w:hAnsi="Open Sans" w:cs="Open Sans"/>
          <w:i/>
          <w:iCs/>
          <w:sz w:val="20"/>
          <w:szCs w:val="20"/>
        </w:rPr>
        <w:t>1ª</w:t>
      </w:r>
      <w:r w:rsidRPr="00AB36A6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6B1F84" w:rsidRPr="00AB36A6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AB36A6">
        <w:rPr>
          <w:rFonts w:ascii="Open Sans" w:hAnsi="Open Sans" w:cs="Open Sans"/>
          <w:iCs/>
          <w:sz w:val="20"/>
          <w:szCs w:val="20"/>
        </w:rPr>
        <w:t>,</w:t>
      </w:r>
      <w:r w:rsidRPr="00AB36A6">
        <w:rPr>
          <w:rFonts w:ascii="Open Sans" w:hAnsi="Open Sans" w:cs="Open Sans"/>
          <w:sz w:val="20"/>
          <w:szCs w:val="20"/>
        </w:rPr>
        <w:t xml:space="preserve"> datado de </w:t>
      </w:r>
      <w:r w:rsidR="006B1F84" w:rsidRPr="00AB36A6">
        <w:rPr>
          <w:rFonts w:ascii="Open Sans" w:hAnsi="Open Sans" w:cs="Open Sans"/>
          <w:color w:val="000000" w:themeColor="text1"/>
          <w:sz w:val="20"/>
          <w:szCs w:val="20"/>
        </w:rPr>
        <w:t>15/05/2018</w:t>
      </w:r>
      <w:r w:rsidRPr="00AB36A6">
        <w:rPr>
          <w:rFonts w:ascii="Open Sans" w:hAnsi="Open Sans" w:cs="Open Sans"/>
          <w:sz w:val="20"/>
          <w:szCs w:val="20"/>
        </w:rPr>
        <w:t>, conforme</w:t>
      </w:r>
      <w:r>
        <w:rPr>
          <w:rFonts w:ascii="Open Sans" w:hAnsi="Open Sans" w:cs="Open Sans"/>
          <w:sz w:val="20"/>
          <w:szCs w:val="20"/>
        </w:rPr>
        <w:t xml:space="preserve"> aditado</w:t>
      </w:r>
      <w:r w:rsidRPr="005603A8">
        <w:rPr>
          <w:rFonts w:ascii="Open Sans" w:hAnsi="Open Sans" w:cs="Open Sans"/>
          <w:sz w:val="20"/>
          <w:szCs w:val="20"/>
        </w:rPr>
        <w:t>, entre a Emissora e</w:t>
      </w:r>
      <w:r w:rsidR="00AB36A6">
        <w:rPr>
          <w:rFonts w:ascii="Open Sans" w:hAnsi="Open Sans" w:cs="Open Sans"/>
          <w:sz w:val="20"/>
          <w:szCs w:val="20"/>
        </w:rPr>
        <w:t xml:space="preserve"> a </w:t>
      </w:r>
      <w:r w:rsidR="00AB36A6" w:rsidRPr="00AB36A6">
        <w:rPr>
          <w:rFonts w:ascii="Open Sans" w:hAnsi="Open Sans" w:cs="Open Sans"/>
          <w:sz w:val="20"/>
          <w:szCs w:val="20"/>
        </w:rPr>
        <w:t>VÓRTX Distribuidora De Títulos E Valores Mobiliários LTDA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A4F3" w14:textId="77777777" w:rsidR="0015207F" w:rsidRDefault="0015207F" w:rsidP="00421DD1">
      <w:r>
        <w:separator/>
      </w:r>
    </w:p>
  </w:endnote>
  <w:endnote w:type="continuationSeparator" w:id="0">
    <w:p w14:paraId="4FA93DB5" w14:textId="77777777" w:rsidR="0015207F" w:rsidRDefault="0015207F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7EBF" w14:textId="77777777" w:rsidR="0015207F" w:rsidRDefault="0015207F" w:rsidP="00421DD1">
      <w:r>
        <w:separator/>
      </w:r>
    </w:p>
  </w:footnote>
  <w:footnote w:type="continuationSeparator" w:id="0">
    <w:p w14:paraId="6D5868E6" w14:textId="77777777" w:rsidR="0015207F" w:rsidRDefault="0015207F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08C5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07F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A49F6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68F"/>
    <w:rsid w:val="00365743"/>
    <w:rsid w:val="00380E67"/>
    <w:rsid w:val="00382222"/>
    <w:rsid w:val="003854BB"/>
    <w:rsid w:val="003955DD"/>
    <w:rsid w:val="003A2265"/>
    <w:rsid w:val="003A233D"/>
    <w:rsid w:val="003A2EF8"/>
    <w:rsid w:val="003A4A21"/>
    <w:rsid w:val="003A6F95"/>
    <w:rsid w:val="003B391C"/>
    <w:rsid w:val="003D7443"/>
    <w:rsid w:val="003E2A2B"/>
    <w:rsid w:val="003E46A9"/>
    <w:rsid w:val="003E67E3"/>
    <w:rsid w:val="003E7367"/>
    <w:rsid w:val="003E7EE3"/>
    <w:rsid w:val="003F100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2282B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64AD5"/>
    <w:rsid w:val="00475319"/>
    <w:rsid w:val="00477297"/>
    <w:rsid w:val="00481AC4"/>
    <w:rsid w:val="00483DFE"/>
    <w:rsid w:val="004A431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31668"/>
    <w:rsid w:val="006404A1"/>
    <w:rsid w:val="006501DC"/>
    <w:rsid w:val="00650D59"/>
    <w:rsid w:val="00653819"/>
    <w:rsid w:val="00662D2D"/>
    <w:rsid w:val="0066565B"/>
    <w:rsid w:val="0066631F"/>
    <w:rsid w:val="006866FD"/>
    <w:rsid w:val="0068739A"/>
    <w:rsid w:val="00687ED2"/>
    <w:rsid w:val="00690690"/>
    <w:rsid w:val="00690D5C"/>
    <w:rsid w:val="00691921"/>
    <w:rsid w:val="006967EC"/>
    <w:rsid w:val="00697823"/>
    <w:rsid w:val="006B1F84"/>
    <w:rsid w:val="006B4B49"/>
    <w:rsid w:val="006B7810"/>
    <w:rsid w:val="006C5150"/>
    <w:rsid w:val="006C7A91"/>
    <w:rsid w:val="006D311C"/>
    <w:rsid w:val="006D39DD"/>
    <w:rsid w:val="006E172C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868AD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6426B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1331"/>
    <w:rsid w:val="009E4E22"/>
    <w:rsid w:val="009E776C"/>
    <w:rsid w:val="009F3B06"/>
    <w:rsid w:val="009F41DB"/>
    <w:rsid w:val="009F6304"/>
    <w:rsid w:val="00A00458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2384"/>
    <w:rsid w:val="00AA7020"/>
    <w:rsid w:val="00AB0AB2"/>
    <w:rsid w:val="00AB33CC"/>
    <w:rsid w:val="00AB36A6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27634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1A86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19CA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5B40"/>
    <w:rsid w:val="00D96E5D"/>
    <w:rsid w:val="00DA794C"/>
    <w:rsid w:val="00DB2915"/>
    <w:rsid w:val="00DB7A87"/>
    <w:rsid w:val="00DC023B"/>
    <w:rsid w:val="00DD08DA"/>
    <w:rsid w:val="00DD0A43"/>
    <w:rsid w:val="00DD0D82"/>
    <w:rsid w:val="00DF3229"/>
    <w:rsid w:val="00DF608D"/>
    <w:rsid w:val="00DF651C"/>
    <w:rsid w:val="00E01E0D"/>
    <w:rsid w:val="00E02B84"/>
    <w:rsid w:val="00E04800"/>
    <w:rsid w:val="00E241D0"/>
    <w:rsid w:val="00E309DB"/>
    <w:rsid w:val="00E3556E"/>
    <w:rsid w:val="00E432D3"/>
    <w:rsid w:val="00E44184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2BBB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87A9C"/>
    <w:rsid w:val="00F91067"/>
    <w:rsid w:val="00FA386E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FSV622TP5J5Y-1298124658-147487</_dlc_DocId>
    <_dlc_DocIdUrl xmlns="63cd3888-6dce-4879-9d02-778ca5cf9668">
      <Url>https://contatofortesec.sharepoint.com/sites/Juridico/_layouts/15/DocIdRedir.aspx?ID=FSV622TP5J5Y-1298124658-147487</Url>
      <Description>FSV622TP5J5Y-1298124658-147487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4</cp:revision>
  <cp:lastPrinted>2025-02-04T19:29:00Z</cp:lastPrinted>
  <dcterms:created xsi:type="dcterms:W3CDTF">2025-10-07T17:00:00Z</dcterms:created>
  <dcterms:modified xsi:type="dcterms:W3CDTF">2025-10-08T00:10:00Z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bb48a461-bae8-4438-bcd8-47f6be407d3c</vt:lpwstr>
  </property>
  <property fmtid="{D5CDD505-2E9C-101B-9397-08002B2CF9AE}" pid="5" name="MediaServiceImageTags">
    <vt:lpwstr/>
  </property>
</Properties>
</file>